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F3" w:rsidRPr="00523240" w:rsidRDefault="006C790A" w:rsidP="006C79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l-GR"/>
        </w:rPr>
        <w:t>H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  <w:t xml:space="preserve"> 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l-GR"/>
        </w:rPr>
        <w:t>METOXH</w:t>
      </w:r>
    </w:p>
    <w:p w:rsidR="006C790A" w:rsidRPr="00523240" w:rsidRDefault="006C790A" w:rsidP="00FD476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Η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μετοχή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είναι ρηματικό επίθετο που μετέχει στις ιδιότητες τόσο του επιθέτου όσο και του ρήματος.</w:t>
      </w:r>
    </w:p>
    <w:p w:rsidR="00103266" w:rsidRPr="00234271" w:rsidRDefault="00103266" w:rsidP="00FD476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Έχει γένη, πτώσεις και ακολουθεί το κλιτικό σύστημα των ονομάτων: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br/>
      </w:r>
      <w:r w:rsidRPr="0052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 w:eastAsia="el-GR"/>
        </w:rPr>
        <w:t>ὁ λυόμενος, ἡ λυομένη, τὸ λυόμενον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DF5A51" w:rsidRPr="00DF5A51" w:rsidRDefault="00103266" w:rsidP="00DF5A51">
      <w:pPr>
        <w:pStyle w:val="ca20"/>
        <w:numPr>
          <w:ilvl w:val="0"/>
          <w:numId w:val="2"/>
        </w:numPr>
        <w:spacing w:before="0" w:beforeAutospacing="0" w:after="0" w:afterAutospacing="0" w:line="390" w:lineRule="atLeast"/>
        <w:ind w:right="75"/>
        <w:jc w:val="both"/>
        <w:rPr>
          <w:b/>
          <w:bCs/>
          <w:color w:val="000000"/>
          <w:shd w:val="clear" w:color="auto" w:fill="FFFFFF"/>
          <w:lang w:val="el-GR"/>
        </w:rPr>
      </w:pPr>
      <w:r w:rsidRPr="00DF5A51">
        <w:rPr>
          <w:color w:val="000000"/>
          <w:lang w:val="el-GR" w:eastAsia="el-GR"/>
        </w:rPr>
        <w:t>Έχει υποκείμενο</w:t>
      </w:r>
      <w:r w:rsidR="00FD4767" w:rsidRPr="00523240">
        <w:rPr>
          <w:color w:val="000000"/>
          <w:lang w:val="el-GR" w:eastAsia="el-GR"/>
        </w:rPr>
        <w:t>.</w:t>
      </w:r>
      <w:r w:rsidR="00DF5A51">
        <w:rPr>
          <w:color w:val="000000"/>
          <w:lang w:val="el-GR" w:eastAsia="el-GR"/>
        </w:rPr>
        <w:t xml:space="preserve"> </w:t>
      </w:r>
      <w:r w:rsidR="00DF5A51" w:rsidRPr="00DF5A51">
        <w:rPr>
          <w:color w:val="000000"/>
          <w:shd w:val="clear" w:color="auto" w:fill="FFFFFF"/>
          <w:lang w:val="el-GR"/>
        </w:rPr>
        <w:t>Η μετοχή συμφωνεί με το υποκείμενό της στο</w:t>
      </w:r>
      <w:r w:rsidR="00DF5A51" w:rsidRPr="00DF5A51">
        <w:rPr>
          <w:color w:val="000000"/>
          <w:shd w:val="clear" w:color="auto" w:fill="FFFFFF"/>
        </w:rPr>
        <w:t> </w:t>
      </w:r>
      <w:r w:rsidR="00DF5A51" w:rsidRPr="00DF5A51">
        <w:rPr>
          <w:b/>
          <w:bCs/>
          <w:color w:val="000000"/>
          <w:shd w:val="clear" w:color="auto" w:fill="FFFFFF"/>
          <w:lang w:val="el-GR"/>
        </w:rPr>
        <w:t>γένος</w:t>
      </w:r>
      <w:r w:rsidR="00DF5A51" w:rsidRPr="00DF5A51">
        <w:rPr>
          <w:color w:val="000000"/>
          <w:shd w:val="clear" w:color="auto" w:fill="FFFFFF"/>
          <w:lang w:val="el-GR"/>
        </w:rPr>
        <w:t>, στον</w:t>
      </w:r>
      <w:r w:rsidR="00DF5A51" w:rsidRPr="00DF5A51">
        <w:rPr>
          <w:color w:val="000000"/>
          <w:shd w:val="clear" w:color="auto" w:fill="FFFFFF"/>
        </w:rPr>
        <w:t> </w:t>
      </w:r>
      <w:r w:rsidR="00DF5A51" w:rsidRPr="00DF5A51">
        <w:rPr>
          <w:b/>
          <w:bCs/>
          <w:color w:val="000000"/>
          <w:shd w:val="clear" w:color="auto" w:fill="FFFFFF"/>
          <w:lang w:val="el-GR"/>
        </w:rPr>
        <w:t>αριθμό</w:t>
      </w:r>
      <w:r w:rsidR="00DF5A51" w:rsidRPr="00DF5A51">
        <w:rPr>
          <w:color w:val="000000"/>
          <w:shd w:val="clear" w:color="auto" w:fill="FFFFFF"/>
        </w:rPr>
        <w:t> </w:t>
      </w:r>
      <w:r w:rsidR="00DF5A51" w:rsidRPr="00DF5A51">
        <w:rPr>
          <w:color w:val="000000"/>
          <w:shd w:val="clear" w:color="auto" w:fill="FFFFFF"/>
          <w:lang w:val="el-GR"/>
        </w:rPr>
        <w:t>και στην</w:t>
      </w:r>
      <w:r w:rsidR="00DF5A51" w:rsidRPr="00DF5A51">
        <w:rPr>
          <w:color w:val="000000"/>
          <w:shd w:val="clear" w:color="auto" w:fill="FFFFFF"/>
        </w:rPr>
        <w:t> </w:t>
      </w:r>
      <w:r w:rsidR="00DF5A51" w:rsidRPr="00DF5A51">
        <w:rPr>
          <w:b/>
          <w:bCs/>
          <w:color w:val="000000"/>
          <w:shd w:val="clear" w:color="auto" w:fill="FFFFFF"/>
          <w:lang w:val="el-GR"/>
        </w:rPr>
        <w:t>πτώση</w:t>
      </w:r>
      <w:r w:rsidR="00DF5A51" w:rsidRPr="00DF5A51">
        <w:rPr>
          <w:color w:val="000000"/>
          <w:shd w:val="clear" w:color="auto" w:fill="FFFFFF"/>
          <w:lang w:val="el-GR"/>
        </w:rPr>
        <w:t>.</w:t>
      </w:r>
      <w:r w:rsidR="00DF5A51">
        <w:rPr>
          <w:color w:val="000000"/>
          <w:shd w:val="clear" w:color="auto" w:fill="FFFFFF"/>
          <w:lang w:val="el-GR"/>
        </w:rPr>
        <w:t xml:space="preserve"> Όταν το υποκείμενο της μετοχής είναι λέξη που δεν έχει άλλη συντακτική θέση μέσα στην πρόταση και λειτουργεί αποκλειστικά ως υποκείμενο της μετοχής, τότε η μετοχή λέγεται </w:t>
      </w:r>
      <w:r w:rsidR="00DF5A51" w:rsidRPr="00DF5A51">
        <w:rPr>
          <w:b/>
          <w:bCs/>
          <w:color w:val="000000"/>
          <w:shd w:val="clear" w:color="auto" w:fill="FFFFFF"/>
          <w:lang w:val="el-GR"/>
        </w:rPr>
        <w:t>απόλυτη.</w:t>
      </w:r>
    </w:p>
    <w:p w:rsidR="00DF5A51" w:rsidRDefault="00DF5A51" w:rsidP="007F5E39">
      <w:pPr>
        <w:pStyle w:val="ca20"/>
        <w:spacing w:before="0" w:beforeAutospacing="0" w:after="0" w:afterAutospacing="0" w:line="390" w:lineRule="atLeast"/>
        <w:ind w:left="75" w:right="75" w:firstLine="645"/>
        <w:jc w:val="both"/>
        <w:rPr>
          <w:color w:val="000000"/>
          <w:lang w:val="el-GR"/>
        </w:rPr>
      </w:pPr>
      <w:r>
        <w:rPr>
          <w:b/>
          <w:bCs/>
          <w:color w:val="000000"/>
          <w:lang w:val="el-GR"/>
        </w:rPr>
        <w:t xml:space="preserve">Π.χ. </w:t>
      </w:r>
      <w:r w:rsidRPr="00DF5A51">
        <w:rPr>
          <w:b/>
          <w:bCs/>
          <w:color w:val="000000"/>
          <w:lang w:val="el-GR"/>
        </w:rPr>
        <w:t>Κρέοντος</w:t>
      </w:r>
      <w:r w:rsidRPr="00DF5A51">
        <w:rPr>
          <w:color w:val="000000"/>
        </w:rPr>
        <w:t> </w:t>
      </w:r>
      <w:r w:rsidRPr="00DF5A51">
        <w:rPr>
          <w:b/>
          <w:bCs/>
          <w:color w:val="000000"/>
          <w:lang w:val="el-GR"/>
        </w:rPr>
        <w:t>βασιλεύοντος</w:t>
      </w:r>
      <w:r w:rsidRPr="00DF5A51">
        <w:rPr>
          <w:color w:val="000000"/>
        </w:rPr>
        <w:t> </w:t>
      </w:r>
      <w:r w:rsidRPr="00DF5A51">
        <w:rPr>
          <w:color w:val="000000"/>
          <w:lang w:val="el-GR"/>
        </w:rPr>
        <w:t>οὐ μικρὰ συμφορὰ κατέσχε Θήβας.</w:t>
      </w:r>
    </w:p>
    <w:p w:rsidR="00DF5A51" w:rsidRDefault="00DF5A51" w:rsidP="007F5E39">
      <w:pPr>
        <w:pStyle w:val="ca20"/>
        <w:spacing w:before="0" w:beforeAutospacing="0" w:after="0" w:afterAutospacing="0" w:line="390" w:lineRule="atLeast"/>
        <w:ind w:left="720" w:right="75"/>
        <w:jc w:val="both"/>
        <w:rPr>
          <w:color w:val="000000"/>
          <w:shd w:val="clear" w:color="auto" w:fill="FFFFFF"/>
          <w:lang w:val="el-GR"/>
        </w:rPr>
      </w:pPr>
      <w:r>
        <w:rPr>
          <w:color w:val="000000"/>
          <w:shd w:val="clear" w:color="auto" w:fill="FFFFFF"/>
          <w:lang w:val="el-GR"/>
        </w:rPr>
        <w:t xml:space="preserve">Η </w:t>
      </w:r>
      <w:r w:rsidRPr="00DF5A51">
        <w:rPr>
          <w:color w:val="000000"/>
          <w:shd w:val="clear" w:color="auto" w:fill="FFFFFF"/>
          <w:lang w:val="el-GR"/>
        </w:rPr>
        <w:t>απόλυτη μετοχή εκφέρεται κυρίως σε</w:t>
      </w:r>
      <w:r w:rsidRPr="00DF5A51">
        <w:rPr>
          <w:color w:val="000000"/>
          <w:shd w:val="clear" w:color="auto" w:fill="FFFFFF"/>
        </w:rPr>
        <w:t> </w:t>
      </w:r>
      <w:r w:rsidRPr="00DF5A51">
        <w:rPr>
          <w:b/>
          <w:bCs/>
          <w:color w:val="000000"/>
          <w:shd w:val="clear" w:color="auto" w:fill="FFFFFF"/>
          <w:lang w:val="el-GR"/>
        </w:rPr>
        <w:t>γενική</w:t>
      </w:r>
      <w:r w:rsidRPr="00DF5A51">
        <w:rPr>
          <w:color w:val="000000"/>
          <w:shd w:val="clear" w:color="auto" w:fill="FFFFFF"/>
          <w:lang w:val="el-GR"/>
        </w:rPr>
        <w:t xml:space="preserve"> ή σε</w:t>
      </w:r>
      <w:r w:rsidRPr="00DF5A51">
        <w:rPr>
          <w:color w:val="000000"/>
          <w:shd w:val="clear" w:color="auto" w:fill="FFFFFF"/>
        </w:rPr>
        <w:t> </w:t>
      </w:r>
      <w:r w:rsidRPr="00DF5A51">
        <w:rPr>
          <w:b/>
          <w:bCs/>
          <w:color w:val="000000"/>
          <w:shd w:val="clear" w:color="auto" w:fill="FFFFFF"/>
          <w:lang w:val="el-GR"/>
        </w:rPr>
        <w:t>αιτιατική</w:t>
      </w:r>
      <w:r>
        <w:rPr>
          <w:b/>
          <w:bCs/>
          <w:color w:val="000000"/>
          <w:shd w:val="clear" w:color="auto" w:fill="FFFFFF"/>
          <w:lang w:val="el-GR"/>
        </w:rPr>
        <w:t xml:space="preserve"> </w:t>
      </w:r>
      <w:r w:rsidRPr="00DF5A51">
        <w:rPr>
          <w:color w:val="000000"/>
          <w:shd w:val="clear" w:color="auto" w:fill="FFFFFF"/>
          <w:lang w:val="el-GR"/>
        </w:rPr>
        <w:t>(γενική απόλυτη ή αιτιατική απόλυτη).</w:t>
      </w:r>
    </w:p>
    <w:p w:rsidR="00DF5A51" w:rsidRDefault="00DF5A51" w:rsidP="007F5E39">
      <w:pPr>
        <w:pStyle w:val="ca20"/>
        <w:spacing w:before="0" w:beforeAutospacing="0" w:after="0" w:afterAutospacing="0" w:line="390" w:lineRule="atLeast"/>
        <w:ind w:left="720" w:right="75"/>
        <w:jc w:val="both"/>
        <w:rPr>
          <w:b/>
          <w:bCs/>
          <w:color w:val="000000"/>
          <w:shd w:val="clear" w:color="auto" w:fill="FFFFFF"/>
          <w:lang w:val="el-GR"/>
        </w:rPr>
      </w:pPr>
      <w:r>
        <w:rPr>
          <w:color w:val="000000"/>
          <w:shd w:val="clear" w:color="auto" w:fill="FFFFFF"/>
          <w:lang w:val="el-GR"/>
        </w:rPr>
        <w:t xml:space="preserve">Όταν το υποκείμενο της μετοχής είναι λέξη που έχει και άλλη συντακτική θέση μέσα στην πρόταση, η μετοχή λέγεται </w:t>
      </w:r>
      <w:r>
        <w:rPr>
          <w:b/>
          <w:bCs/>
          <w:color w:val="000000"/>
          <w:shd w:val="clear" w:color="auto" w:fill="FFFFFF"/>
          <w:lang w:val="el-GR"/>
        </w:rPr>
        <w:t>συνημμένη</w:t>
      </w:r>
      <w:r w:rsidRPr="00DF5A51">
        <w:rPr>
          <w:b/>
          <w:bCs/>
          <w:color w:val="000000"/>
          <w:shd w:val="clear" w:color="auto" w:fill="FFFFFF"/>
          <w:lang w:val="el-GR"/>
        </w:rPr>
        <w:t>.</w:t>
      </w:r>
    </w:p>
    <w:p w:rsidR="00DF5A51" w:rsidRPr="00DF5A51" w:rsidRDefault="00DF5A51" w:rsidP="007F5E39">
      <w:pPr>
        <w:pStyle w:val="ca20"/>
        <w:spacing w:before="0" w:beforeAutospacing="0" w:after="0" w:afterAutospacing="0" w:line="390" w:lineRule="atLeast"/>
        <w:ind w:left="75" w:right="75" w:firstLine="645"/>
        <w:jc w:val="both"/>
        <w:rPr>
          <w:b/>
          <w:bCs/>
          <w:i/>
          <w:iCs/>
          <w:color w:val="000000"/>
          <w:shd w:val="clear" w:color="auto" w:fill="FFFFFF"/>
          <w:lang w:val="el-GR"/>
        </w:rPr>
      </w:pPr>
      <w:r>
        <w:rPr>
          <w:b/>
          <w:bCs/>
          <w:color w:val="000000"/>
          <w:shd w:val="clear" w:color="auto" w:fill="FFFFFF"/>
          <w:lang w:val="el-GR"/>
        </w:rPr>
        <w:t xml:space="preserve">Π.χ. </w:t>
      </w:r>
      <w:r w:rsidR="00B828F5" w:rsidRPr="00B828F5">
        <w:rPr>
          <w:rStyle w:val="a4"/>
          <w:i w:val="0"/>
          <w:iCs w:val="0"/>
          <w:color w:val="000000"/>
          <w:lang w:val="el-GR"/>
        </w:rPr>
        <w:t>Ἔπεμψε</w:t>
      </w:r>
      <w:r w:rsidR="00B828F5" w:rsidRPr="00B828F5">
        <w:rPr>
          <w:rStyle w:val="a4"/>
          <w:i w:val="0"/>
          <w:iCs w:val="0"/>
          <w:color w:val="000000"/>
        </w:rPr>
        <w:t> </w:t>
      </w:r>
      <w:r w:rsidR="00B828F5" w:rsidRPr="00B828F5">
        <w:rPr>
          <w:rStyle w:val="a5"/>
          <w:color w:val="000000"/>
          <w:lang w:val="el-GR"/>
        </w:rPr>
        <w:t>Θεόπομπον</w:t>
      </w:r>
      <w:r w:rsidR="00B828F5" w:rsidRPr="00B828F5">
        <w:rPr>
          <w:rStyle w:val="a4"/>
          <w:color w:val="000000"/>
        </w:rPr>
        <w:t> </w:t>
      </w:r>
      <w:r w:rsidR="00B828F5" w:rsidRPr="00B828F5">
        <w:rPr>
          <w:rStyle w:val="a4"/>
          <w:i w:val="0"/>
          <w:iCs w:val="0"/>
          <w:color w:val="000000"/>
          <w:lang w:val="el-GR"/>
        </w:rPr>
        <w:t>εἰς Λακεδαίμονα</w:t>
      </w:r>
      <w:r w:rsidR="00B828F5" w:rsidRPr="00B828F5">
        <w:rPr>
          <w:rStyle w:val="a4"/>
          <w:i w:val="0"/>
          <w:iCs w:val="0"/>
          <w:color w:val="000000"/>
        </w:rPr>
        <w:t> </w:t>
      </w:r>
      <w:r w:rsidR="00B828F5" w:rsidRPr="00B828F5">
        <w:rPr>
          <w:rStyle w:val="a5"/>
          <w:color w:val="000000"/>
          <w:lang w:val="el-GR"/>
        </w:rPr>
        <w:t>ἀπαγγελοῦντα</w:t>
      </w:r>
      <w:r w:rsidR="00B828F5" w:rsidRPr="00B828F5">
        <w:rPr>
          <w:rStyle w:val="a4"/>
          <w:color w:val="000000"/>
        </w:rPr>
        <w:t> </w:t>
      </w:r>
      <w:r w:rsidR="00B828F5" w:rsidRPr="00B828F5">
        <w:rPr>
          <w:rStyle w:val="a4"/>
          <w:i w:val="0"/>
          <w:iCs w:val="0"/>
          <w:color w:val="000000"/>
          <w:lang w:val="el-GR"/>
        </w:rPr>
        <w:t>τὰ γεγονότα</w:t>
      </w:r>
      <w:r w:rsidR="00B828F5" w:rsidRPr="00B828F5">
        <w:rPr>
          <w:i/>
          <w:iCs/>
          <w:color w:val="000000"/>
          <w:lang w:val="el-GR"/>
        </w:rPr>
        <w:t>.</w:t>
      </w:r>
      <w:r w:rsidR="00B828F5" w:rsidRPr="00B828F5">
        <w:rPr>
          <w:i/>
          <w:iCs/>
          <w:color w:val="000000"/>
        </w:rPr>
        <w:t> </w:t>
      </w:r>
    </w:p>
    <w:p w:rsidR="00103266" w:rsidRPr="00DF5A51" w:rsidRDefault="00103266" w:rsidP="007F5E3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</w:p>
    <w:p w:rsidR="009F3755" w:rsidRPr="00523240" w:rsidRDefault="00103266" w:rsidP="00343E1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Σε κάποιες περιπτώσεις συνοδεύεται (εκτός από την τελική μετοχή) από το δυνητικό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 w:eastAsia="el-GR"/>
        </w:rPr>
        <w:t>ἄν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. 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ότε λέγεται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>δυνητική μετοχή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και ισοδυναμεί με δυνητική οριστική ή δυνητική ευκτική</w:t>
      </w:r>
      <w:r w:rsidR="00FD4767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.</w:t>
      </w:r>
      <w:r w:rsidR="007212D6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="00343E12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Π.χ. </w:t>
      </w:r>
      <w:r w:rsidR="00343E12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Οἶδα ταῦτα </w:t>
      </w:r>
      <w:r w:rsidR="00343E12" w:rsidRPr="003E29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l-GR"/>
        </w:rPr>
        <w:t>οὐκ</w:t>
      </w:r>
      <w:r w:rsidR="00343E12" w:rsidRPr="003E29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343E12" w:rsidRPr="003E29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ἄν ὄντα</w:t>
      </w:r>
      <w:r w:rsidR="00343E12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3E12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ἀληθῆ.</w:t>
      </w:r>
    </w:p>
    <w:p w:rsidR="00343E12" w:rsidRPr="00523240" w:rsidRDefault="00343E12" w:rsidP="00343E1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</w:p>
    <w:p w:rsidR="009F3755" w:rsidRPr="00523240" w:rsidRDefault="009F3755" w:rsidP="00FD476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Η μετοχή ανάλογα με τη χρήση της </w:t>
      </w: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διακρίνεται σε:</w:t>
      </w:r>
    </w:p>
    <w:p w:rsidR="009F3755" w:rsidRPr="00523240" w:rsidRDefault="009F3755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23240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103495" cy="925195"/>
            <wp:effectExtent l="0" t="0" r="1905" b="8255"/>
            <wp:docPr id="1" name="Εικόνα 1" descr="μετοχ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μετοχή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67" w:rsidRPr="00523240" w:rsidRDefault="00FD4767" w:rsidP="00FD4767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 w:eastAsia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Α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/ </w:t>
      </w: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 w:eastAsia="el-GR"/>
        </w:rPr>
        <w:t>Επιθετική</w:t>
      </w:r>
    </w:p>
    <w:p w:rsidR="00FD636C" w:rsidRPr="00523240" w:rsidRDefault="00FD636C" w:rsidP="00765593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Μεταφράζεται: </w:t>
      </w: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ο οποίος, η οποία, το οποίο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.</w:t>
      </w:r>
    </w:p>
    <w:p w:rsidR="002F0DB8" w:rsidRPr="00523240" w:rsidRDefault="00FD4767" w:rsidP="00765593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Λ</w:t>
      </w:r>
      <w:r w:rsidR="002F0DB8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ειτουργεί στον λόγο ως</w:t>
      </w:r>
      <w:r w:rsidR="002F0DB8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:</w:t>
      </w:r>
      <w:r w:rsidR="002F0DB8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υ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ποκείμενο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, α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ντικείμενο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, κ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ατηγορούμενο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, ε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πιθετικός ή κατηγορηματικός προσδιορισμός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, π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αράθεση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, ε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πεξήγηση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, 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 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ετερόπτωτος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 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ή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 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ομοιόπτωτος</w:t>
      </w:r>
      <w:r w:rsidR="002F0DB8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προσδιορισμός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.</w:t>
      </w:r>
    </w:p>
    <w:p w:rsidR="007A1C76" w:rsidRDefault="00765593" w:rsidP="007A1C76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Σ</w:t>
      </w:r>
      <w:r w:rsidR="00FD4767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υνοδεύεται από </w:t>
      </w:r>
      <w:r w:rsidR="00FD4767"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>άρθρο</w:t>
      </w:r>
      <w:r w:rsidR="00FD4767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που είναι και το </w:t>
      </w:r>
      <w:r w:rsidR="00FD4767"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>υποκείμενό</w:t>
      </w:r>
      <w:r w:rsidR="00FD4767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της. 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Μπορεί όμως να υπάρχει και επιθετική μετοχή που να παραλείπεται το άρθρο </w:t>
      </w:r>
      <w:r w:rsidR="001A4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της,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αλλά τότε θα υπάρχει στην πρόταση  και συνήθως θα προηγείται το υποκείμενό της. Τότε λέγεται 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>αναφορική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.</w:t>
      </w:r>
    </w:p>
    <w:p w:rsidR="00CA59BD" w:rsidRPr="007A1C76" w:rsidRDefault="007212D6" w:rsidP="007A1C76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  <w:r w:rsidRPr="007A1C76">
        <w:rPr>
          <w:rFonts w:ascii="Times New Roman" w:hAnsi="Times New Roman" w:cs="Times New Roman"/>
          <w:color w:val="000000" w:themeColor="text1"/>
          <w:sz w:val="24"/>
          <w:szCs w:val="24"/>
          <w:lang w:val="el-GR" w:eastAsia="el-GR"/>
        </w:rPr>
        <w:t>Π.χ.</w:t>
      </w:r>
      <w:r w:rsidR="00CA59BD" w:rsidRPr="007A1C76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  <w:lang w:val="el-GR"/>
        </w:rPr>
        <w:t>Αἱ πόλεις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59BD" w:rsidRPr="007A1C76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αἱ δημοκρατούμεναι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  <w:lang w:val="el-GR"/>
        </w:rPr>
        <w:t>τοῖς νόμοις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59BD" w:rsidRPr="007A1C76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τοῖς κειμένοις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59BD" w:rsidRPr="007A1C76">
        <w:rPr>
          <w:rFonts w:ascii="Times New Roman" w:hAnsi="Times New Roman" w:cs="Times New Roman"/>
          <w:color w:val="000000"/>
          <w:sz w:val="24"/>
          <w:szCs w:val="24"/>
          <w:lang w:val="el-GR"/>
        </w:rPr>
        <w:t>διοικοῦνται.</w:t>
      </w:r>
    </w:p>
    <w:p w:rsidR="00CA59BD" w:rsidRPr="007A1C76" w:rsidRDefault="00CA59BD" w:rsidP="00CA59BD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color w:val="000000"/>
          <w:lang w:val="el-GR"/>
        </w:rPr>
      </w:pPr>
      <w:r w:rsidRPr="007A1C76">
        <w:rPr>
          <w:color w:val="000000"/>
          <w:lang w:val="el-GR"/>
        </w:rPr>
        <w:lastRenderedPageBreak/>
        <w:t>(= Οι πόλεις που έχουν δημοκρατικό πολίτευμα διοικούνται με βάση τους νόμους που έχουν θεσπιστεί)</w:t>
      </w:r>
    </w:p>
    <w:p w:rsidR="003908EA" w:rsidRPr="00523240" w:rsidRDefault="003908EA" w:rsidP="003908EA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color w:val="000000"/>
          <w:lang w:val="el-GR"/>
        </w:rPr>
      </w:pPr>
      <w:r w:rsidRPr="00523240">
        <w:rPr>
          <w:color w:val="000000"/>
          <w:lang w:val="el-GR"/>
        </w:rPr>
        <w:t>Καταλαμβάνει</w:t>
      </w:r>
      <w:r w:rsidRPr="00523240">
        <w:rPr>
          <w:color w:val="000000"/>
        </w:rPr>
        <w:t> </w:t>
      </w:r>
      <w:r w:rsidRPr="00523240">
        <w:rPr>
          <w:b/>
          <w:bCs/>
          <w:color w:val="000000"/>
          <w:lang w:val="el-GR"/>
        </w:rPr>
        <w:t>πώλους</w:t>
      </w:r>
      <w:r w:rsidRPr="00523240">
        <w:rPr>
          <w:color w:val="000000"/>
        </w:rPr>
        <w:t> </w:t>
      </w:r>
      <w:proofErr w:type="spellStart"/>
      <w:r w:rsidRPr="00523240">
        <w:rPr>
          <w:color w:val="000000"/>
          <w:lang w:val="el-GR"/>
        </w:rPr>
        <w:t>εἰς</w:t>
      </w:r>
      <w:proofErr w:type="spellEnd"/>
      <w:r w:rsidRPr="00523240">
        <w:rPr>
          <w:color w:val="000000"/>
          <w:lang w:val="el-GR"/>
        </w:rPr>
        <w:t xml:space="preserve"> </w:t>
      </w:r>
      <w:proofErr w:type="spellStart"/>
      <w:r w:rsidRPr="00523240">
        <w:rPr>
          <w:color w:val="000000"/>
          <w:lang w:val="el-GR"/>
        </w:rPr>
        <w:t>δασμὸν</w:t>
      </w:r>
      <w:proofErr w:type="spellEnd"/>
      <w:r w:rsidRPr="00523240">
        <w:rPr>
          <w:color w:val="000000"/>
          <w:lang w:val="el-GR"/>
        </w:rPr>
        <w:t xml:space="preserve"> </w:t>
      </w:r>
      <w:proofErr w:type="spellStart"/>
      <w:r w:rsidRPr="00523240">
        <w:rPr>
          <w:color w:val="000000"/>
          <w:lang w:val="el-GR"/>
        </w:rPr>
        <w:t>βασιλεῖ</w:t>
      </w:r>
      <w:proofErr w:type="spellEnd"/>
      <w:r w:rsidRPr="00523240">
        <w:rPr>
          <w:color w:val="000000"/>
        </w:rPr>
        <w:t> </w:t>
      </w:r>
      <w:proofErr w:type="spellStart"/>
      <w:r w:rsidRPr="00523240">
        <w:rPr>
          <w:b/>
          <w:bCs/>
          <w:color w:val="000000"/>
          <w:lang w:val="el-GR"/>
        </w:rPr>
        <w:t>ἐκτρεφομένους</w:t>
      </w:r>
      <w:proofErr w:type="spellEnd"/>
      <w:r w:rsidR="007A1C76">
        <w:rPr>
          <w:b/>
          <w:bCs/>
          <w:color w:val="000000"/>
          <w:lang w:val="el-GR"/>
        </w:rPr>
        <w:t>.</w:t>
      </w:r>
    </w:p>
    <w:p w:rsidR="003908EA" w:rsidRPr="00523240" w:rsidRDefault="003908EA" w:rsidP="003908EA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color w:val="000000"/>
          <w:lang w:val="el-GR"/>
        </w:rPr>
      </w:pPr>
      <w:r w:rsidRPr="00523240">
        <w:rPr>
          <w:color w:val="000000"/>
          <w:lang w:val="el-GR"/>
        </w:rPr>
        <w:t>(= αιχμαλωτίζει πουλάρια που εκτρέφονταν ως φόρος για τον βασιλιά.)</w:t>
      </w:r>
    </w:p>
    <w:p w:rsidR="00AD1AEF" w:rsidRPr="00523240" w:rsidRDefault="00AD1AEF" w:rsidP="003908EA">
      <w:pPr>
        <w:pStyle w:val="ca20"/>
        <w:shd w:val="clear" w:color="auto" w:fill="FFFFFF"/>
        <w:spacing w:before="0" w:beforeAutospacing="0" w:after="0" w:afterAutospacing="0" w:line="390" w:lineRule="atLeast"/>
        <w:ind w:left="75" w:right="75" w:firstLine="240"/>
        <w:jc w:val="both"/>
        <w:rPr>
          <w:color w:val="000000"/>
          <w:lang w:val="el-GR"/>
        </w:rPr>
      </w:pPr>
    </w:p>
    <w:p w:rsidR="00765593" w:rsidRPr="00523240" w:rsidRDefault="00765593" w:rsidP="00765593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>Β/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  <w:t>Κατηγορηματική</w:t>
      </w:r>
    </w:p>
    <w:p w:rsidR="00765593" w:rsidRPr="00523240" w:rsidRDefault="00765593" w:rsidP="0076559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  <w:r w:rsidRPr="00D2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l-GR" w:eastAsia="el-GR"/>
        </w:rPr>
        <w:t>Μεταφράζεται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με το 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  <w:t>να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 xml:space="preserve"> 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ή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l-GR" w:eastAsia="el-GR"/>
        </w:rPr>
        <w:t xml:space="preserve"> 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  <w:t>ότι</w:t>
      </w:r>
      <w:r w:rsidR="00D27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  <w:t>.</w:t>
      </w:r>
    </w:p>
    <w:p w:rsidR="00765593" w:rsidRPr="00523240" w:rsidRDefault="00765593" w:rsidP="0076559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  <w:r w:rsidRPr="00D2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l-GR" w:eastAsia="el-GR"/>
        </w:rPr>
        <w:t>Μεταφράζεται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με το </w:t>
      </w:r>
      <w:r w:rsidRPr="00523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l-GR" w:eastAsia="el-GR"/>
        </w:rPr>
        <w:t>που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εάν εξαρτάται από ρήμα ψυχικού πάθους π.χ. </w:t>
      </w:r>
      <w:r w:rsidR="00C106B1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ἀγαπῶ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= ευχαριστιέμαι,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ἀγανακτῶ, αἰσχύνομαι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= ντρέπομαι,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μεταμέλομαι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= μετανοώ,</w:t>
      </w:r>
      <w:r w:rsidR="00E72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C106B1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ἄχθομαι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= στενοχωριέμαι,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ἥδομαι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= ευχαριστιέμαι,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06B1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χαίρω, λυποῦμαι, ὀργίζομαι, τέρπομαι</w:t>
      </w:r>
      <w:r w:rsidR="00C106B1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= ευχαριστιέμαι</w:t>
      </w:r>
    </w:p>
    <w:p w:rsidR="007E4CF9" w:rsidRDefault="007E4CF9" w:rsidP="007E4CF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Π.χ.</w:t>
      </w:r>
      <w:r w:rsidR="00B80F4A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B80F4A"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Ἔχαιρεν</w:t>
      </w:r>
      <w:proofErr w:type="spellEnd"/>
      <w:r w:rsidR="00B80F4A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80F4A" w:rsidRPr="005232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ἀκούων</w:t>
      </w:r>
      <w:proofErr w:type="spellEnd"/>
      <w:r w:rsidR="00B80F4A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80F4A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ταῦτα</w:t>
      </w:r>
      <w:proofErr w:type="spellEnd"/>
      <w:r w:rsidR="00B80F4A"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.</w:t>
      </w:r>
    </w:p>
    <w:p w:rsidR="00D272CF" w:rsidRPr="00523240" w:rsidRDefault="00D272CF" w:rsidP="007E4CF9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</w:p>
    <w:p w:rsidR="00753C39" w:rsidRPr="00523240" w:rsidRDefault="00753C39" w:rsidP="0076559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</w:pPr>
      <w:r w:rsidRPr="00D272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l-GR" w:eastAsia="el-GR"/>
        </w:rPr>
        <w:t>Εξαρτάται επίσης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από ρήματα</w:t>
      </w:r>
      <w:r w:rsidR="00E77813"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>:</w:t>
      </w:r>
      <w:r w:rsidRPr="00523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 w:eastAsia="el-GR"/>
        </w:rPr>
        <w:t xml:space="preserve"> </w:t>
      </w:r>
    </w:p>
    <w:p w:rsidR="00753C39" w:rsidRPr="00D272CF" w:rsidRDefault="00753C39" w:rsidP="00D272CF">
      <w:pPr>
        <w:pStyle w:val="ca20"/>
        <w:shd w:val="clear" w:color="auto" w:fill="FFFFFF"/>
        <w:spacing w:before="0" w:beforeAutospacing="0" w:after="0" w:afterAutospacing="0" w:line="390" w:lineRule="atLeast"/>
        <w:ind w:left="75" w:right="75"/>
        <w:jc w:val="both"/>
        <w:rPr>
          <w:color w:val="000000"/>
          <w:lang w:val="el-GR"/>
        </w:rPr>
      </w:pPr>
      <w:r w:rsidRPr="00523240">
        <w:rPr>
          <w:color w:val="000000" w:themeColor="text1"/>
          <w:lang w:val="el-GR" w:eastAsia="el-GR"/>
        </w:rPr>
        <w:t>-</w:t>
      </w:r>
      <w:r w:rsidRPr="00771834">
        <w:rPr>
          <w:color w:val="000000" w:themeColor="text1"/>
          <w:u w:val="single"/>
          <w:lang w:val="el-GR" w:eastAsia="el-GR"/>
        </w:rPr>
        <w:t>Συνδετικά</w:t>
      </w:r>
      <w:r w:rsidRPr="00523240">
        <w:rPr>
          <w:color w:val="000000" w:themeColor="text1"/>
          <w:lang w:val="el-GR" w:eastAsia="el-GR"/>
        </w:rPr>
        <w:t xml:space="preserve"> (</w:t>
      </w:r>
      <w:proofErr w:type="spellStart"/>
      <w:r w:rsidRPr="00303BA9">
        <w:rPr>
          <w:b/>
          <w:bCs/>
          <w:color w:val="000000"/>
          <w:lang w:val="el-GR"/>
        </w:rPr>
        <w:t>εἰμί</w:t>
      </w:r>
      <w:proofErr w:type="spellEnd"/>
      <w:r w:rsidRPr="00303BA9">
        <w:rPr>
          <w:color w:val="000000"/>
          <w:lang w:val="el-GR"/>
        </w:rPr>
        <w:t>,</w:t>
      </w:r>
      <w:r w:rsidRPr="00303BA9">
        <w:rPr>
          <w:color w:val="000000"/>
        </w:rPr>
        <w:t> </w:t>
      </w:r>
      <w:proofErr w:type="spellStart"/>
      <w:r w:rsidRPr="00303BA9">
        <w:rPr>
          <w:b/>
          <w:bCs/>
          <w:color w:val="000000"/>
          <w:lang w:val="el-GR"/>
        </w:rPr>
        <w:t>γίγνομαι</w:t>
      </w:r>
      <w:proofErr w:type="spellEnd"/>
      <w:r w:rsidRPr="00303BA9">
        <w:rPr>
          <w:color w:val="000000"/>
          <w:lang w:val="el-GR"/>
        </w:rPr>
        <w:t>,</w:t>
      </w:r>
      <w:r w:rsidRPr="00303BA9">
        <w:rPr>
          <w:color w:val="000000"/>
        </w:rPr>
        <w:t> </w:t>
      </w:r>
      <w:proofErr w:type="spellStart"/>
      <w:r w:rsidRPr="00303BA9">
        <w:rPr>
          <w:b/>
          <w:bCs/>
          <w:color w:val="000000"/>
          <w:lang w:val="el-GR"/>
        </w:rPr>
        <w:t>ὑπάρχω</w:t>
      </w:r>
      <w:proofErr w:type="spellEnd"/>
      <w:r w:rsidR="00D272CF">
        <w:rPr>
          <w:b/>
          <w:bCs/>
          <w:color w:val="000000"/>
          <w:lang w:val="el-GR"/>
        </w:rPr>
        <w:t xml:space="preserve"> κ.α.</w:t>
      </w:r>
      <w:r w:rsidRPr="00523240">
        <w:rPr>
          <w:b/>
          <w:bCs/>
          <w:color w:val="000000"/>
          <w:lang w:val="el-GR"/>
        </w:rPr>
        <w:t>)</w:t>
      </w:r>
      <w:r w:rsidR="00BE7A96" w:rsidRPr="00523240">
        <w:rPr>
          <w:b/>
          <w:bCs/>
          <w:color w:val="000000"/>
          <w:lang w:val="el-GR"/>
        </w:rPr>
        <w:t xml:space="preserve"> </w:t>
      </w:r>
      <w:r w:rsidR="00771834">
        <w:rPr>
          <w:b/>
          <w:bCs/>
          <w:color w:val="000000"/>
          <w:lang w:val="el-GR"/>
        </w:rPr>
        <w:t xml:space="preserve"> </w:t>
      </w:r>
      <w:r w:rsidR="00BE7A96" w:rsidRPr="00523240">
        <w:rPr>
          <w:b/>
          <w:bCs/>
          <w:color w:val="000000"/>
          <w:lang w:val="el-GR"/>
        </w:rPr>
        <w:t>Π.χ. Προσεοικότες</w:t>
      </w:r>
      <w:r w:rsidR="00BE7A96" w:rsidRPr="00523240">
        <w:rPr>
          <w:color w:val="000000"/>
        </w:rPr>
        <w:t> </w:t>
      </w:r>
      <w:r w:rsidR="00BE7A96" w:rsidRPr="00523240">
        <w:rPr>
          <w:b/>
          <w:bCs/>
          <w:color w:val="000000"/>
          <w:lang w:val="el-GR"/>
        </w:rPr>
        <w:t>γίγνονται</w:t>
      </w:r>
      <w:r w:rsidR="00BE7A96" w:rsidRPr="00523240">
        <w:rPr>
          <w:color w:val="000000"/>
        </w:rPr>
        <w:t> </w:t>
      </w:r>
      <w:r w:rsidR="00BE7A96" w:rsidRPr="00523240">
        <w:rPr>
          <w:color w:val="000000"/>
          <w:lang w:val="el-GR"/>
        </w:rPr>
        <w:t>τοῖς γονεῦσιν οἱ παῖδες.(= Τα παιδιά</w:t>
      </w:r>
      <w:r w:rsidR="00BE7A96" w:rsidRPr="00523240">
        <w:rPr>
          <w:color w:val="000000"/>
        </w:rPr>
        <w:t> </w:t>
      </w:r>
      <w:r w:rsidR="00BE7A96" w:rsidRPr="00523240">
        <w:rPr>
          <w:b/>
          <w:bCs/>
          <w:color w:val="000000"/>
          <w:lang w:val="el-GR"/>
        </w:rPr>
        <w:t>μοιάζουν</w:t>
      </w:r>
      <w:r w:rsidR="00BE7A96" w:rsidRPr="00523240">
        <w:rPr>
          <w:color w:val="000000"/>
        </w:rPr>
        <w:t> </w:t>
      </w:r>
      <w:r w:rsidR="00BE7A96" w:rsidRPr="00523240">
        <w:rPr>
          <w:color w:val="000000"/>
          <w:lang w:val="el-GR"/>
        </w:rPr>
        <w:t>στους γονείς.)</w:t>
      </w:r>
    </w:p>
    <w:p w:rsidR="00D272CF" w:rsidRDefault="00FD636C" w:rsidP="00BE7A9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-</w:t>
      </w:r>
      <w:r w:rsidR="008F63E1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8F63E1" w:rsidRPr="00771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l-GR"/>
        </w:rPr>
        <w:t>Όσα δηλώνουν</w:t>
      </w:r>
      <w:r w:rsidR="008F63E1"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:</w:t>
      </w:r>
      <w:r w:rsidR="008F63E1" w:rsidRPr="005232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έναρξη</w:t>
      </w:r>
      <w:r w:rsidR="00D2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ἄρχω</w:t>
      </w:r>
      <w:proofErr w:type="spellEnd"/>
      <w:r w:rsid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ἄρχομαι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= αρχίζω</w:t>
      </w:r>
      <w:r w:rsidR="00D272CF">
        <w:rPr>
          <w:rFonts w:ascii="Calibri" w:hAnsi="Calibri" w:cs="Calibri"/>
          <w:color w:val="000000"/>
          <w:sz w:val="30"/>
          <w:szCs w:val="30"/>
          <w:shd w:val="clear" w:color="auto" w:fill="FFFFFF"/>
          <w:lang w:val="el-GR"/>
        </w:rPr>
        <w:t>),</w:t>
      </w:r>
      <w:r w:rsidR="00D2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λήξη</w:t>
      </w:r>
      <w:r w:rsidR="00D2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παύω / παύομαι / λήγω = σταματώ</w:t>
      </w:r>
      <w:r w:rsid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),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καρτερία</w:t>
      </w:r>
      <w:r w:rsidR="00D2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καρτερ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</w:t>
      </w:r>
      <w:proofErr w:type="spellEnd"/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),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ανοχή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ἀνέχομαι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 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ὑπομένω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= ανέχομαι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),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κάματο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(</w:t>
      </w:r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κάμνω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ἀπαγορεύω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= κουράζομαι</w:t>
      </w:r>
      <w:r w:rsidR="00771834">
        <w:rPr>
          <w:rFonts w:ascii="Calibri" w:hAnsi="Calibri" w:cs="Calibri"/>
          <w:color w:val="000000"/>
          <w:sz w:val="30"/>
          <w:szCs w:val="30"/>
          <w:shd w:val="clear" w:color="auto" w:fill="FFFFFF"/>
          <w:lang w:val="el-GR"/>
        </w:rPr>
        <w:t>),</w:t>
      </w:r>
      <w:r w:rsidR="00234271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 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αίσθηση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αἰσθάνομαι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ἀκούω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ὁρῶ</w:t>
      </w:r>
      <w:proofErr w:type="spellEnd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234271" w:rsidRPr="0023427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περιορῶ</w:t>
      </w:r>
      <w:proofErr w:type="spellEnd"/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),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γνώση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γιγνώσκω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 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ἐπίσταμαι</w:t>
      </w:r>
      <w:proofErr w:type="spellEnd"/>
      <w:r w:rsidR="009D206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οἶδα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= γνωρίζ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ω),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μάθηση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μανθάνω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), 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μνήμη</w:t>
      </w:r>
      <w:r w:rsidR="009D206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</w:t>
      </w:r>
      <w:proofErr w:type="spellStart"/>
      <w:r w:rsidR="00D272CF" w:rsidRP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ἐνθυμοῦμαι</w:t>
      </w:r>
      <w:proofErr w:type="spellEnd"/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μέμνημαι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= θυμάμαι, 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ἐπιλανθάνω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 = ξεχνώ</w:t>
      </w:r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),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αγγελία (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ἀγγέλω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ἀγγέλλομαι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ἀναγγέλλω</w:t>
      </w:r>
      <w:proofErr w:type="spellEnd"/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), </w:t>
      </w:r>
      <w:r w:rsidR="00D27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δείξιμο 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(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δείκνυμι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ἐπιδείκνυμι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ἀποδείκνυμι</w:t>
      </w:r>
      <w:proofErr w:type="spellEnd"/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),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="008F63E1"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έλεγχο</w:t>
      </w:r>
      <w:r w:rsidR="00771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(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ἐλέγχω</w:t>
      </w:r>
      <w:proofErr w:type="spellEnd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D272CF" w:rsidRPr="00D272CF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ἐξελέγχω</w:t>
      </w:r>
      <w:proofErr w:type="spellEnd"/>
      <w:r w:rsidR="0077183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).</w:t>
      </w:r>
    </w:p>
    <w:p w:rsidR="00753C39" w:rsidRPr="00523240" w:rsidRDefault="00BE7A96" w:rsidP="00BE7A9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Π.χ. </w:t>
      </w:r>
      <w:proofErr w:type="spellStart"/>
      <w:r w:rsidRPr="0023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Οὗτος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342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ἦρξεν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342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ἀδικῶν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3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ἡμᾶς</w:t>
      </w:r>
      <w:proofErr w:type="spellEnd"/>
      <w:r w:rsidRPr="00234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.</w:t>
      </w:r>
    </w:p>
    <w:p w:rsidR="008A51FF" w:rsidRDefault="00F335E9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  <w:proofErr w:type="spellStart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Οἱ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Ἕλληνες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3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ἔμαθον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Κῦρον</w:t>
      </w:r>
      <w:proofErr w:type="spellEnd"/>
      <w:r w:rsidRPr="00523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32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τεθνηκότα</w:t>
      </w:r>
      <w:proofErr w:type="spellEnd"/>
      <w:r w:rsidR="00771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.</w:t>
      </w:r>
    </w:p>
    <w:p w:rsidR="00771834" w:rsidRDefault="00771834" w:rsidP="00771834">
      <w:pPr>
        <w:pStyle w:val="a3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l-GR"/>
        </w:rPr>
      </w:pPr>
      <w:r w:rsidRPr="007718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l-GR"/>
        </w:rPr>
        <w:t xml:space="preserve">Η κατηγορηματική μετοχή λειτουργεί ως </w:t>
      </w:r>
      <w:r w:rsidRPr="009D20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κατηγορούμενο</w:t>
      </w:r>
      <w:r w:rsidRPr="007718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l-GR"/>
        </w:rPr>
        <w:t xml:space="preserve"> (με συνδετικά ρήματα) ή ως </w:t>
      </w:r>
      <w:r w:rsidRPr="009D20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κατηγορηματικός προσδιορισμός</w:t>
      </w:r>
      <w:r w:rsidRPr="007718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l-GR"/>
        </w:rPr>
        <w:t xml:space="preserve"> στο υποκείμενο των αμετάβατων ρημάτων ή το αντικείμενο των μεταβατικών ρημάτων.</w:t>
      </w:r>
    </w:p>
    <w:p w:rsidR="00771834" w:rsidRPr="00771834" w:rsidRDefault="00771834" w:rsidP="00771834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Pr="00523240" w:rsidRDefault="00771834" w:rsidP="00F335E9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F335E9" w:rsidRPr="00523240" w:rsidRDefault="00F335E9" w:rsidP="00FB7163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A14651" w:rsidRPr="00D8739D" w:rsidRDefault="00A14651" w:rsidP="00D8739D">
      <w:pPr>
        <w:pStyle w:val="a3"/>
        <w:numPr>
          <w:ilvl w:val="0"/>
          <w:numId w:val="11"/>
        </w:numPr>
        <w:rPr>
          <w:rFonts w:ascii="Times New Roman" w:eastAsia="Times New Roman" w:hAnsi="Times New Roman"/>
          <w:b/>
          <w:color w:val="000000"/>
          <w:sz w:val="28"/>
          <w:szCs w:val="28"/>
          <w:lang w:val="el-GR"/>
        </w:rPr>
      </w:pPr>
      <w:r w:rsidRPr="00D8739D">
        <w:rPr>
          <w:rFonts w:ascii="Times New Roman" w:eastAsia="Times New Roman" w:hAnsi="Times New Roman"/>
          <w:b/>
          <w:color w:val="000000"/>
          <w:sz w:val="28"/>
          <w:szCs w:val="28"/>
          <w:lang w:val="el-GR"/>
        </w:rPr>
        <w:t>Να βρεις το είδος των μετοχών στις παρακάτω προτάσεις (επιθετική, κατηγορηματική)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4"/>
        <w:gridCol w:w="2950"/>
      </w:tblGrid>
      <w:tr w:rsidR="00A14651" w:rsidRPr="001A40EE" w:rsidTr="00020DE4">
        <w:trPr>
          <w:trHeight w:val="697"/>
        </w:trPr>
        <w:tc>
          <w:tcPr>
            <w:tcW w:w="0" w:type="auto"/>
            <w:hideMark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Οἱ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φεύγοντες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ἐκ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Φλειοῦντος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ἐπορεύοντο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εἰς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Λακεδαίμονα</w:t>
            </w:r>
            <w:r w:rsidR="00CB228A">
              <w:rPr>
                <w:rFonts w:eastAsia="Times New Roman"/>
                <w:szCs w:val="31"/>
                <w:lang w:val="el-GR" w:eastAsia="el-GR"/>
              </w:rPr>
              <w:t>.</w:t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</w:tr>
      <w:tr w:rsidR="00A14651" w:rsidRPr="001A40EE" w:rsidTr="001B209C">
        <w:trPr>
          <w:trHeight w:val="684"/>
        </w:trPr>
        <w:tc>
          <w:tcPr>
            <w:tcW w:w="0" w:type="auto"/>
            <w:hideMark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  <w:r w:rsidRPr="00A14651">
              <w:rPr>
                <w:rFonts w:eastAsia="Times New Roman"/>
                <w:szCs w:val="31"/>
                <w:lang w:val="el-GR" w:eastAsia="el-GR"/>
              </w:rPr>
              <w:t xml:space="preserve">Φαίνεται ὁ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δῆμος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ταῖς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ἄλλαις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πολιτείαις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μαχόμενος.</w:t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</w:tr>
      <w:tr w:rsidR="00A14651" w:rsidRPr="001A40EE" w:rsidTr="00020DE4">
        <w:trPr>
          <w:trHeight w:val="575"/>
        </w:trPr>
        <w:tc>
          <w:tcPr>
            <w:tcW w:w="0" w:type="auto"/>
            <w:hideMark/>
          </w:tcPr>
          <w:p w:rsidR="00A14651" w:rsidRPr="00A14651" w:rsidRDefault="00A14651" w:rsidP="001B209C">
            <w:pPr>
              <w:spacing w:line="480" w:lineRule="auto"/>
              <w:rPr>
                <w:rFonts w:eastAsia="Times New Roman"/>
                <w:szCs w:val="31"/>
                <w:lang w:val="el-GR" w:eastAsia="el-GR"/>
              </w:rPr>
            </w:pP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Οἱ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πλούσιοι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οὐκ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ἀνέχονται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ὑβριζόμενοι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>.</w:t>
            </w:r>
          </w:p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</w:tr>
      <w:tr w:rsidR="00A14651" w:rsidRPr="001A40EE" w:rsidTr="00020DE4">
        <w:trPr>
          <w:trHeight w:val="447"/>
        </w:trPr>
        <w:tc>
          <w:tcPr>
            <w:tcW w:w="0" w:type="auto"/>
            <w:hideMark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Οἱ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δικασταὶ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ἤκουσαν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τῶν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μαρτύρων λεγόντων.</w:t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</w:tr>
      <w:tr w:rsidR="00A14651" w:rsidRPr="001A40EE" w:rsidTr="00020DE4">
        <w:trPr>
          <w:trHeight w:val="553"/>
        </w:trPr>
        <w:tc>
          <w:tcPr>
            <w:tcW w:w="0" w:type="auto"/>
            <w:hideMark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  <w:r w:rsidRPr="00A14651">
              <w:rPr>
                <w:rFonts w:eastAsia="Times New Roman"/>
                <w:szCs w:val="31"/>
                <w:lang w:val="el-GR" w:eastAsia="el-GR"/>
              </w:rPr>
              <w:t xml:space="preserve">Λύσανδρος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τὰ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ὑπάρχοντα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χρήματα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Κύρῳ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ἀπέδωκεν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>.</w:t>
            </w:r>
            <w:r w:rsidRPr="00A14651">
              <w:rPr>
                <w:rFonts w:eastAsia="Times New Roman"/>
                <w:szCs w:val="31"/>
                <w:lang w:val="el-GR" w:eastAsia="el-GR"/>
              </w:rPr>
              <w:br/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</w:tr>
      <w:tr w:rsidR="00A14651" w:rsidRPr="001A40EE" w:rsidTr="001B209C">
        <w:trPr>
          <w:trHeight w:val="595"/>
        </w:trPr>
        <w:tc>
          <w:tcPr>
            <w:tcW w:w="0" w:type="auto"/>
            <w:hideMark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  <w:r w:rsidRPr="00A14651">
              <w:rPr>
                <w:rFonts w:eastAsia="Times New Roman"/>
                <w:szCs w:val="31"/>
                <w:lang w:val="el-GR" w:eastAsia="el-GR"/>
              </w:rPr>
              <w:t xml:space="preserve">Χαίρω, ὦ Λυσίμαχε,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τῷ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ἀνδρί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πλησιάζων.</w:t>
            </w:r>
          </w:p>
          <w:p w:rsidR="00A14651" w:rsidRPr="00A14651" w:rsidRDefault="00A14651" w:rsidP="001B209C">
            <w:pPr>
              <w:spacing w:after="0" w:line="240" w:lineRule="auto"/>
              <w:rPr>
                <w:rFonts w:eastAsia="Times New Roman"/>
                <w:szCs w:val="31"/>
                <w:lang w:val="el-GR" w:eastAsia="el-GR"/>
              </w:rPr>
            </w:pP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ind w:left="57"/>
              <w:rPr>
                <w:rFonts w:eastAsia="Times New Roman"/>
                <w:szCs w:val="31"/>
                <w:lang w:val="el-GR" w:eastAsia="el-GR"/>
              </w:rPr>
            </w:pPr>
          </w:p>
        </w:tc>
      </w:tr>
      <w:tr w:rsidR="00A14651" w:rsidRPr="001A40EE" w:rsidTr="00020DE4">
        <w:trPr>
          <w:trHeight w:val="1222"/>
        </w:trPr>
        <w:tc>
          <w:tcPr>
            <w:tcW w:w="6354" w:type="dxa"/>
          </w:tcPr>
          <w:p w:rsidR="00A14651" w:rsidRPr="00A14651" w:rsidRDefault="00A14651" w:rsidP="001B209C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rFonts w:ascii="Calibri" w:hAnsi="Calibri"/>
                <w:sz w:val="22"/>
                <w:szCs w:val="31"/>
                <w:lang w:val="el-GR"/>
              </w:rPr>
            </w:pP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Ἀπήγαγε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τὴν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στρατιὰν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ἐπὶ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τὴν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ἄκραν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Τεμενῖτιν</w:t>
            </w:r>
            <w:proofErr w:type="spellEnd"/>
            <w:r w:rsidRPr="00345846">
              <w:rPr>
                <w:rFonts w:ascii="Calibri" w:hAnsi="Calibri"/>
                <w:sz w:val="22"/>
                <w:szCs w:val="31"/>
              </w:rPr>
              <w:t> 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καλουμένην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.</w:t>
            </w:r>
          </w:p>
          <w:p w:rsidR="00A14651" w:rsidRPr="00A14651" w:rsidRDefault="00A14651" w:rsidP="001B209C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left="75" w:right="75"/>
              <w:jc w:val="both"/>
              <w:rPr>
                <w:rFonts w:ascii="Calibri" w:hAnsi="Calibri"/>
                <w:sz w:val="22"/>
                <w:szCs w:val="31"/>
                <w:lang w:val="el-GR"/>
              </w:rPr>
            </w:pPr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 xml:space="preserve">(= Οδήγησε το στρατό στα σύνορα στην περιοχή που λέγεται </w:t>
            </w:r>
            <w:proofErr w:type="spellStart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Τεμενίτις</w:t>
            </w:r>
            <w:proofErr w:type="spellEnd"/>
            <w:r w:rsidRPr="00A14651">
              <w:rPr>
                <w:rFonts w:ascii="Calibri" w:hAnsi="Calibri"/>
                <w:sz w:val="22"/>
                <w:szCs w:val="31"/>
                <w:lang w:val="el-GR"/>
              </w:rPr>
              <w:t>.)</w:t>
            </w:r>
          </w:p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  <w:tc>
          <w:tcPr>
            <w:tcW w:w="2950" w:type="dxa"/>
          </w:tcPr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</w:tr>
      <w:tr w:rsidR="00A14651" w:rsidRPr="001A40EE" w:rsidTr="001B209C">
        <w:tc>
          <w:tcPr>
            <w:tcW w:w="6354" w:type="dxa"/>
          </w:tcPr>
          <w:p w:rsidR="00A14651" w:rsidRPr="00A14651" w:rsidRDefault="00A14651" w:rsidP="001B209C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  <w:lang w:val="el-GR"/>
              </w:rPr>
            </w:pP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Οἱ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Αθηναῖοι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οὐκ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ἠνείχοντο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ἀκούοντες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τῶν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παίδων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ἀντιλεγόντων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>.</w:t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</w:tr>
      <w:tr w:rsidR="00A14651" w:rsidRPr="001A40EE" w:rsidTr="001B209C">
        <w:tc>
          <w:tcPr>
            <w:tcW w:w="6354" w:type="dxa"/>
          </w:tcPr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Οὗτος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ἦν</w:t>
            </w:r>
            <w:proofErr w:type="spellEnd"/>
            <w:r w:rsidRPr="00B23C21">
              <w:rPr>
                <w:rFonts w:eastAsia="Times New Roman"/>
                <w:szCs w:val="31"/>
                <w:lang w:eastAsia="el-GR"/>
              </w:rPr>
              <w:t> </w:t>
            </w:r>
            <w:r w:rsidRPr="00A14651">
              <w:rPr>
                <w:rFonts w:eastAsia="Times New Roman"/>
                <w:szCs w:val="31"/>
                <w:lang w:val="el-GR" w:eastAsia="el-GR"/>
              </w:rPr>
              <w:t xml:space="preserve">ὁ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ἀδικήσας</w:t>
            </w:r>
            <w:proofErr w:type="spellEnd"/>
            <w:r w:rsidRPr="00B23C21">
              <w:rPr>
                <w:rFonts w:eastAsia="Times New Roman"/>
                <w:szCs w:val="31"/>
                <w:lang w:eastAsia="el-GR"/>
              </w:rPr>
              <w:t> 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καὶ</w:t>
            </w:r>
            <w:proofErr w:type="spellEnd"/>
            <w:r w:rsidRPr="00B23C21">
              <w:rPr>
                <w:rFonts w:eastAsia="Times New Roman"/>
                <w:szCs w:val="31"/>
                <w:lang w:eastAsia="el-GR"/>
              </w:rPr>
              <w:t> 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ἐπιβουλεύσας</w:t>
            </w:r>
            <w:proofErr w:type="spellEnd"/>
            <w:r w:rsidRPr="00B23C21">
              <w:rPr>
                <w:rFonts w:eastAsia="Times New Roman"/>
                <w:szCs w:val="31"/>
                <w:lang w:eastAsia="el-GR"/>
              </w:rPr>
              <w:t> 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ἡμῖν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>.</w:t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</w:tr>
      <w:tr w:rsidR="00A14651" w:rsidRPr="00662189" w:rsidTr="00020DE4">
        <w:trPr>
          <w:trHeight w:val="509"/>
        </w:trPr>
        <w:tc>
          <w:tcPr>
            <w:tcW w:w="6354" w:type="dxa"/>
          </w:tcPr>
          <w:p w:rsidR="00A14651" w:rsidRPr="00C449C9" w:rsidRDefault="00A14651" w:rsidP="001B209C">
            <w:pPr>
              <w:spacing w:line="240" w:lineRule="auto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C449C9">
              <w:rPr>
                <w:rFonts w:eastAsia="Times New Roman"/>
                <w:szCs w:val="31"/>
                <w:lang w:eastAsia="el-GR"/>
              </w:rPr>
              <w:t>Σωκράτης</w:t>
            </w:r>
            <w:proofErr w:type="spellEnd"/>
            <w:r w:rsidRPr="00C449C9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proofErr w:type="gramStart"/>
            <w:r w:rsidRPr="00C449C9">
              <w:rPr>
                <w:rFonts w:eastAsia="Times New Roman"/>
                <w:szCs w:val="31"/>
                <w:lang w:eastAsia="el-GR"/>
              </w:rPr>
              <w:t>ἤκουσε</w:t>
            </w:r>
            <w:proofErr w:type="spellEnd"/>
            <w:r w:rsidRPr="00C449C9">
              <w:rPr>
                <w:rFonts w:eastAsia="Times New Roman"/>
                <w:szCs w:val="31"/>
                <w:lang w:eastAsia="el-GR"/>
              </w:rPr>
              <w:t xml:space="preserve">  </w:t>
            </w:r>
            <w:proofErr w:type="spellStart"/>
            <w:r w:rsidRPr="00C449C9">
              <w:rPr>
                <w:rFonts w:eastAsia="Times New Roman"/>
                <w:szCs w:val="31"/>
                <w:lang w:eastAsia="el-GR"/>
              </w:rPr>
              <w:t>Ξενοφῶντα</w:t>
            </w:r>
            <w:proofErr w:type="spellEnd"/>
            <w:proofErr w:type="gramEnd"/>
            <w:r w:rsidRPr="00C449C9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C449C9">
              <w:rPr>
                <w:rFonts w:eastAsia="Times New Roman"/>
                <w:szCs w:val="31"/>
                <w:lang w:eastAsia="el-GR"/>
              </w:rPr>
              <w:t>ἥκοντα</w:t>
            </w:r>
            <w:proofErr w:type="spellEnd"/>
            <w:r w:rsidRPr="00C449C9">
              <w:rPr>
                <w:rFonts w:eastAsia="Times New Roman"/>
                <w:szCs w:val="31"/>
                <w:lang w:eastAsia="el-GR"/>
              </w:rPr>
              <w:t>.</w:t>
            </w:r>
          </w:p>
          <w:p w:rsidR="00A14651" w:rsidRPr="00662189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</w:rPr>
            </w:pPr>
          </w:p>
        </w:tc>
        <w:tc>
          <w:tcPr>
            <w:tcW w:w="2950" w:type="dxa"/>
          </w:tcPr>
          <w:p w:rsidR="00A14651" w:rsidRPr="00662189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</w:rPr>
            </w:pPr>
          </w:p>
        </w:tc>
      </w:tr>
      <w:tr w:rsidR="00A14651" w:rsidRPr="001A40EE" w:rsidTr="00020DE4">
        <w:tblPrEx>
          <w:tblLook w:val="0000"/>
        </w:tblPrEx>
        <w:trPr>
          <w:trHeight w:val="565"/>
        </w:trPr>
        <w:tc>
          <w:tcPr>
            <w:tcW w:w="6354" w:type="dxa"/>
          </w:tcPr>
          <w:p w:rsidR="00A14651" w:rsidRPr="00A14651" w:rsidRDefault="00A14651" w:rsidP="001B209C">
            <w:pPr>
              <w:ind w:left="75"/>
              <w:rPr>
                <w:rFonts w:eastAsia="Times New Roman"/>
                <w:szCs w:val="31"/>
                <w:lang w:val="el-GR" w:eastAsia="el-GR"/>
              </w:rPr>
            </w:pPr>
            <w:r w:rsidRPr="00A14651">
              <w:rPr>
                <w:rFonts w:eastAsia="Times New Roman"/>
                <w:szCs w:val="31"/>
                <w:lang w:val="el-GR" w:eastAsia="el-GR"/>
              </w:rPr>
              <w:t xml:space="preserve">Ὁ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μὴ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δαρεὶς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οὐ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παιδεύεται.</w:t>
            </w:r>
          </w:p>
          <w:p w:rsidR="00A14651" w:rsidRPr="00A14651" w:rsidRDefault="00A14651" w:rsidP="001B209C">
            <w:pPr>
              <w:ind w:left="75"/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  <w:tc>
          <w:tcPr>
            <w:tcW w:w="2950" w:type="dxa"/>
          </w:tcPr>
          <w:p w:rsidR="00A14651" w:rsidRPr="00A14651" w:rsidRDefault="00A14651" w:rsidP="001B209C">
            <w:pPr>
              <w:spacing w:after="0" w:line="240" w:lineRule="auto"/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</w:tr>
      <w:tr w:rsidR="00A14651" w:rsidRPr="001A40EE" w:rsidTr="00020DE4">
        <w:tblPrEx>
          <w:tblLook w:val="0000"/>
        </w:tblPrEx>
        <w:trPr>
          <w:trHeight w:val="593"/>
        </w:trPr>
        <w:tc>
          <w:tcPr>
            <w:tcW w:w="6354" w:type="dxa"/>
          </w:tcPr>
          <w:p w:rsidR="00A14651" w:rsidRPr="00A14651" w:rsidRDefault="00A14651" w:rsidP="001B209C">
            <w:pPr>
              <w:ind w:left="75"/>
              <w:rPr>
                <w:rFonts w:eastAsia="Times New Roman"/>
                <w:szCs w:val="31"/>
                <w:lang w:val="el-GR" w:eastAsia="el-GR"/>
              </w:rPr>
            </w:pP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Παύσασθε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περὶ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 xml:space="preserve"> τούτου</w:t>
            </w:r>
            <w:r w:rsidRPr="00D95959">
              <w:rPr>
                <w:rFonts w:eastAsia="Times New Roman"/>
                <w:szCs w:val="31"/>
                <w:lang w:eastAsia="el-GR"/>
              </w:rPr>
              <w:t> 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κατηγοροῦντες</w:t>
            </w:r>
            <w:proofErr w:type="spellEnd"/>
            <w:r w:rsidRPr="00D95959">
              <w:rPr>
                <w:rFonts w:eastAsia="Times New Roman"/>
                <w:szCs w:val="31"/>
                <w:lang w:eastAsia="el-GR"/>
              </w:rPr>
              <w:t> </w:t>
            </w:r>
            <w:proofErr w:type="spellStart"/>
            <w:r w:rsidRPr="00A14651">
              <w:rPr>
                <w:rFonts w:eastAsia="Times New Roman"/>
                <w:szCs w:val="31"/>
                <w:lang w:val="el-GR" w:eastAsia="el-GR"/>
              </w:rPr>
              <w:t>ἀλλήλων</w:t>
            </w:r>
            <w:proofErr w:type="spellEnd"/>
            <w:r w:rsidRPr="00A14651">
              <w:rPr>
                <w:rFonts w:eastAsia="Times New Roman"/>
                <w:szCs w:val="31"/>
                <w:lang w:val="el-GR" w:eastAsia="el-GR"/>
              </w:rPr>
              <w:t>.</w:t>
            </w:r>
          </w:p>
        </w:tc>
        <w:tc>
          <w:tcPr>
            <w:tcW w:w="2950" w:type="dxa"/>
          </w:tcPr>
          <w:p w:rsidR="00A14651" w:rsidRPr="00A14651" w:rsidRDefault="00A14651" w:rsidP="001B209C">
            <w:pPr>
              <w:rPr>
                <w:rFonts w:ascii="Calibri Light" w:eastAsia="Times New Roman" w:hAnsi="Calibri Light"/>
                <w:color w:val="000000"/>
                <w:sz w:val="26"/>
                <w:szCs w:val="26"/>
                <w:lang w:val="el-GR"/>
              </w:rPr>
            </w:pPr>
          </w:p>
        </w:tc>
      </w:tr>
    </w:tbl>
    <w:p w:rsidR="00A14651" w:rsidRPr="00A14651" w:rsidRDefault="00A14651" w:rsidP="00A14651">
      <w:pPr>
        <w:jc w:val="center"/>
        <w:rPr>
          <w:sz w:val="24"/>
          <w:szCs w:val="24"/>
          <w:lang w:val="el-GR" w:eastAsia="el-GR"/>
        </w:rPr>
      </w:pPr>
    </w:p>
    <w:p w:rsidR="002F0DB8" w:rsidRPr="00523240" w:rsidRDefault="002F0DB8" w:rsidP="002F0D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2F0DB8" w:rsidRPr="00523240" w:rsidRDefault="002F0DB8" w:rsidP="00A1000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l-GR"/>
        </w:rPr>
      </w:pPr>
    </w:p>
    <w:sectPr w:rsidR="002F0DB8" w:rsidRPr="00523240" w:rsidSect="005E05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CA2"/>
      </v:shape>
    </w:pict>
  </w:numPicBullet>
  <w:abstractNum w:abstractNumId="0">
    <w:nsid w:val="1246314C"/>
    <w:multiLevelType w:val="hybridMultilevel"/>
    <w:tmpl w:val="DDC46A86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34E5A66"/>
    <w:multiLevelType w:val="hybridMultilevel"/>
    <w:tmpl w:val="8E027C0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16D15"/>
    <w:multiLevelType w:val="multilevel"/>
    <w:tmpl w:val="2E5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8360C"/>
    <w:multiLevelType w:val="hybridMultilevel"/>
    <w:tmpl w:val="BF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81DED"/>
    <w:multiLevelType w:val="hybridMultilevel"/>
    <w:tmpl w:val="707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71787"/>
    <w:multiLevelType w:val="hybridMultilevel"/>
    <w:tmpl w:val="BA445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C64C8"/>
    <w:multiLevelType w:val="hybridMultilevel"/>
    <w:tmpl w:val="1F6A8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5DF"/>
    <w:multiLevelType w:val="hybridMultilevel"/>
    <w:tmpl w:val="7BE0C200"/>
    <w:lvl w:ilvl="0" w:tplc="82D475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A87AC8"/>
    <w:multiLevelType w:val="multilevel"/>
    <w:tmpl w:val="37F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34D02"/>
    <w:multiLevelType w:val="hybridMultilevel"/>
    <w:tmpl w:val="054807E6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0">
    <w:nsid w:val="6E5D4129"/>
    <w:multiLevelType w:val="hybridMultilevel"/>
    <w:tmpl w:val="E5D25E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25C6"/>
    <w:rsid w:val="00020DE4"/>
    <w:rsid w:val="000625C6"/>
    <w:rsid w:val="000E7EC6"/>
    <w:rsid w:val="00103266"/>
    <w:rsid w:val="00124143"/>
    <w:rsid w:val="00147653"/>
    <w:rsid w:val="001A40EE"/>
    <w:rsid w:val="001B7177"/>
    <w:rsid w:val="00202500"/>
    <w:rsid w:val="00211A4E"/>
    <w:rsid w:val="00231C0E"/>
    <w:rsid w:val="00234271"/>
    <w:rsid w:val="0029196A"/>
    <w:rsid w:val="002F0DB8"/>
    <w:rsid w:val="00303BA9"/>
    <w:rsid w:val="00343E12"/>
    <w:rsid w:val="003908EA"/>
    <w:rsid w:val="003A4651"/>
    <w:rsid w:val="003E29FA"/>
    <w:rsid w:val="0042521E"/>
    <w:rsid w:val="0043592F"/>
    <w:rsid w:val="00440C1D"/>
    <w:rsid w:val="00494330"/>
    <w:rsid w:val="00523240"/>
    <w:rsid w:val="0058735E"/>
    <w:rsid w:val="005E05F7"/>
    <w:rsid w:val="0060446C"/>
    <w:rsid w:val="00644273"/>
    <w:rsid w:val="00676509"/>
    <w:rsid w:val="006C790A"/>
    <w:rsid w:val="007212D6"/>
    <w:rsid w:val="00753C39"/>
    <w:rsid w:val="00765593"/>
    <w:rsid w:val="00771834"/>
    <w:rsid w:val="007A1C76"/>
    <w:rsid w:val="007E4CF9"/>
    <w:rsid w:val="007F5E39"/>
    <w:rsid w:val="008A51FF"/>
    <w:rsid w:val="008F63E1"/>
    <w:rsid w:val="009B4EEE"/>
    <w:rsid w:val="009D206C"/>
    <w:rsid w:val="009F3755"/>
    <w:rsid w:val="00A1000E"/>
    <w:rsid w:val="00A14651"/>
    <w:rsid w:val="00A55AE4"/>
    <w:rsid w:val="00AD1AEF"/>
    <w:rsid w:val="00B80F4A"/>
    <w:rsid w:val="00B828F5"/>
    <w:rsid w:val="00BE7A96"/>
    <w:rsid w:val="00C106B1"/>
    <w:rsid w:val="00C45055"/>
    <w:rsid w:val="00CA59BD"/>
    <w:rsid w:val="00CB228A"/>
    <w:rsid w:val="00D1672F"/>
    <w:rsid w:val="00D272CF"/>
    <w:rsid w:val="00D8739D"/>
    <w:rsid w:val="00D963A7"/>
    <w:rsid w:val="00DF5A51"/>
    <w:rsid w:val="00E63B63"/>
    <w:rsid w:val="00E72107"/>
    <w:rsid w:val="00E77813"/>
    <w:rsid w:val="00E85632"/>
    <w:rsid w:val="00EA23FC"/>
    <w:rsid w:val="00F335E9"/>
    <w:rsid w:val="00FB7163"/>
    <w:rsid w:val="00FD4767"/>
    <w:rsid w:val="00FD636C"/>
    <w:rsid w:val="00FE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1000E"/>
    <w:rPr>
      <w:color w:val="0563C1" w:themeColor="hyperlink"/>
      <w:u w:val="single"/>
    </w:rPr>
  </w:style>
  <w:style w:type="paragraph" w:customStyle="1" w:styleId="ca15j">
    <w:name w:val="ca15j"/>
    <w:basedOn w:val="a"/>
    <w:rsid w:val="00E8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4767"/>
    <w:pPr>
      <w:ind w:left="720"/>
      <w:contextualSpacing/>
    </w:pPr>
  </w:style>
  <w:style w:type="paragraph" w:customStyle="1" w:styleId="ca20">
    <w:name w:val="ca20"/>
    <w:basedOn w:val="a"/>
    <w:rsid w:val="00CA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28F5"/>
    <w:rPr>
      <w:i/>
      <w:iCs/>
    </w:rPr>
  </w:style>
  <w:style w:type="character" w:styleId="a5">
    <w:name w:val="Strong"/>
    <w:basedOn w:val="a0"/>
    <w:uiPriority w:val="22"/>
    <w:qFormat/>
    <w:rsid w:val="00B828F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3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34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590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ΝΙΚΗ ΒΑΣΙΛΕΙΟΥ</cp:lastModifiedBy>
  <cp:revision>112</cp:revision>
  <dcterms:created xsi:type="dcterms:W3CDTF">2021-01-03T13:54:00Z</dcterms:created>
  <dcterms:modified xsi:type="dcterms:W3CDTF">2021-01-26T07:18:00Z</dcterms:modified>
</cp:coreProperties>
</file>