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8860F8" w:rsidRPr="00CF0DDC" w:rsidRDefault="008860F8" w:rsidP="008860F8">
      <w:pPr>
        <w:pStyle w:val="ca14"/>
        <w:shd w:val="clear" w:color="auto" w:fill="FFFFFF"/>
        <w:spacing w:before="0" w:beforeAutospacing="0" w:after="0" w:afterAutospacing="0" w:line="338" w:lineRule="atLeast"/>
        <w:ind w:left="75" w:right="75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Γ. Η ΠΑΡΑΓΡΑΦΟΣ</w:t>
      </w:r>
    </w:p>
    <w:p w:rsidR="008860F8" w:rsidRPr="00CF0DDC" w:rsidRDefault="008860F8" w:rsidP="008860F8">
      <w:pPr>
        <w:pStyle w:val="ca14"/>
        <w:shd w:val="clear" w:color="auto" w:fill="FFFFFF"/>
        <w:spacing w:before="0" w:beforeAutospacing="0" w:after="0" w:afterAutospacing="0" w:line="338" w:lineRule="atLeast"/>
        <w:ind w:left="75" w:right="75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8860F8" w:rsidRPr="00CF0DDC" w:rsidRDefault="008860F8" w:rsidP="008860F8">
      <w:pPr>
        <w:pStyle w:val="ca14"/>
        <w:shd w:val="clear" w:color="auto" w:fill="FFFFFF"/>
        <w:spacing w:before="0" w:beforeAutospacing="0" w:after="0" w:afterAutospacing="0" w:line="338" w:lineRule="atLeast"/>
        <w:ind w:left="75" w:right="75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Γ.1 Θεωρητικό μέρος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«Η παράγραφος αποτελεί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νοηματική ενότητα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, δηλαδή ένα ενιαίο πληροφοριακό σύνολο, γιατί αναπτύσσεται μέσα σε αυτή μία και μόνη ιδέα, άποψη ή πλευρά του θέματος του κειμένου.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• Έχει εξωτερικό γνώρισμα την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αλλαγή αράδας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8860F8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• Με την παράγραφο εκφράζουμε ένα κύριο νόημα, που μπορεί να δηλωθεί με έναν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πλαγιότιτλο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. O πλαγιότιτλος διευκολύνει τον αναγνώστη στην αρχική κατανόηση του κειμένου, καθώς και στην τελική ανακεφαλαίωσή του.</w:t>
      </w:r>
    </w:p>
    <w:p w:rsidR="007337CE" w:rsidRPr="00CF0DDC" w:rsidRDefault="007337CE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bookmarkStart w:id="0" w:name="_GoBack"/>
      <w:bookmarkEnd w:id="0"/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Ακόμη, είναι σημαντικό να επισημάνουμε στους μαθητές ότι: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α.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Η παράγραφος σχηματίζεται από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προτάσεις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, που συνδέονται νοηματικά.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β.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Η πρόταση είναι η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μικρότερη μονάδα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της παραγράφου.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γ.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Κάθε πρόταση δίνει ορισμένες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πληροφορίες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δ.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Κάθε κύρια πρόταση δίνει μία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βασική πληροφορία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ε.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Κάθε παράγραφος έχει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μία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ή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περισσότερες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βασικές πληροφορίες.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στ</w:t>
      </w:r>
      <w:proofErr w:type="spellEnd"/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Η βασική πληροφορία μπορεί: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–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να συμπληρώνεται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με εξειδικεύσεις (προσδιορισμούς), που γίνονται είτε στο ρηματικό είτε στο ονοματικό μέρος της πρότασης·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–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να επεκτείνεται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με νέες βασικές πληροφορίες, που συνδέονται νοηματικά με την προηγούμενη, εκφράζοντας κρίσεις, συναισθήματα, επιθυμίες κ.λπ.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ζ.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</w:t>
      </w:r>
      <w:proofErr w:type="spellStart"/>
      <w:r w:rsidRPr="00CF0DDC">
        <w:rPr>
          <w:rFonts w:asciiTheme="minorHAnsi" w:hAnsiTheme="minorHAnsi" w:cstheme="minorHAnsi"/>
          <w:color w:val="000000"/>
          <w:sz w:val="32"/>
          <w:szCs w:val="32"/>
        </w:rPr>
        <w:t>Oι</w:t>
      </w:r>
      <w:proofErr w:type="spellEnd"/>
      <w:r w:rsidRPr="00CF0DDC">
        <w:rPr>
          <w:rFonts w:asciiTheme="minorHAnsi" w:hAnsiTheme="minorHAnsi" w:cstheme="minorHAnsi"/>
          <w:color w:val="000000"/>
          <w:sz w:val="32"/>
          <w:szCs w:val="32"/>
        </w:rPr>
        <w:t xml:space="preserve"> βασικές πληροφορίες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συνθέτουν το κύριο νόημα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της παραγράφου.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η.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</w:t>
      </w:r>
      <w:proofErr w:type="spellStart"/>
      <w:r w:rsidRPr="00CF0DDC">
        <w:rPr>
          <w:rFonts w:asciiTheme="minorHAnsi" w:hAnsiTheme="minorHAnsi" w:cstheme="minorHAnsi"/>
          <w:color w:val="000000"/>
          <w:sz w:val="32"/>
          <w:szCs w:val="32"/>
        </w:rPr>
        <w:t>Oι</w:t>
      </w:r>
      <w:proofErr w:type="spellEnd"/>
      <w:r w:rsidRPr="00CF0DDC">
        <w:rPr>
          <w:rFonts w:asciiTheme="minorHAnsi" w:hAnsiTheme="minorHAnsi" w:cstheme="minorHAnsi"/>
          <w:color w:val="000000"/>
          <w:sz w:val="32"/>
          <w:szCs w:val="32"/>
        </w:rPr>
        <w:t xml:space="preserve"> υπόλοιπες πληροφορίες </w:t>
      </w:r>
      <w:r w:rsidRPr="00CF0DDC">
        <w:rPr>
          <w:rFonts w:asciiTheme="minorHAnsi" w:hAnsiTheme="minorHAnsi" w:cstheme="minorHAnsi"/>
          <w:b/>
          <w:bCs/>
          <w:color w:val="000000"/>
          <w:sz w:val="32"/>
          <w:szCs w:val="32"/>
        </w:rPr>
        <w:t>αποσαφηνίζουν κι εμπλουτίζουν επικοινωνιακά</w:t>
      </w:r>
      <w:r w:rsidRPr="00CF0DDC">
        <w:rPr>
          <w:rFonts w:asciiTheme="minorHAnsi" w:hAnsiTheme="minorHAnsi" w:cstheme="minorHAnsi"/>
          <w:color w:val="000000"/>
          <w:sz w:val="32"/>
          <w:szCs w:val="32"/>
        </w:rPr>
        <w:t> το κύριο νόημα της παραγράφου».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8860F8" w:rsidRPr="00CF0DDC" w:rsidRDefault="008860F8" w:rsidP="008860F8">
      <w:pPr>
        <w:pStyle w:val="ca14j"/>
        <w:shd w:val="clear" w:color="auto" w:fill="FFFFFF"/>
        <w:spacing w:before="0" w:beforeAutospacing="0" w:after="0" w:afterAutospacing="0" w:line="338" w:lineRule="atLeast"/>
        <w:ind w:left="75" w:right="75" w:firstLine="240"/>
        <w:jc w:val="right"/>
        <w:rPr>
          <w:rFonts w:asciiTheme="minorHAnsi" w:hAnsiTheme="minorHAnsi" w:cstheme="minorHAnsi"/>
          <w:color w:val="000000"/>
          <w:sz w:val="32"/>
          <w:szCs w:val="32"/>
        </w:rPr>
      </w:pPr>
      <w:r w:rsidRPr="00CF0DDC">
        <w:rPr>
          <w:rFonts w:asciiTheme="minorHAnsi" w:hAnsiTheme="minorHAnsi" w:cstheme="minorHAnsi"/>
          <w:color w:val="000000"/>
          <w:sz w:val="32"/>
          <w:szCs w:val="32"/>
        </w:rPr>
        <w:t xml:space="preserve">Γ. </w:t>
      </w:r>
      <w:proofErr w:type="spellStart"/>
      <w:r w:rsidRPr="00CF0DDC">
        <w:rPr>
          <w:rFonts w:asciiTheme="minorHAnsi" w:hAnsiTheme="minorHAnsi" w:cstheme="minorHAnsi"/>
          <w:color w:val="000000"/>
          <w:sz w:val="32"/>
          <w:szCs w:val="32"/>
        </w:rPr>
        <w:t>Μπαμπινιώτης</w:t>
      </w:r>
      <w:proofErr w:type="spellEnd"/>
      <w:r w:rsidRPr="00CF0DDC">
        <w:rPr>
          <w:rFonts w:asciiTheme="minorHAnsi" w:hAnsiTheme="minorHAnsi" w:cstheme="minorHAnsi"/>
          <w:color w:val="000000"/>
          <w:sz w:val="32"/>
          <w:szCs w:val="32"/>
        </w:rPr>
        <w:t xml:space="preserve"> και Ι. Ν. Παρασκευόπουλος, Κείμενο-επικοινωνία, </w:t>
      </w:r>
      <w:proofErr w:type="spellStart"/>
      <w:r w:rsidRPr="00CF0DDC">
        <w:rPr>
          <w:rFonts w:asciiTheme="minorHAnsi" w:hAnsiTheme="minorHAnsi" w:cstheme="minorHAnsi"/>
          <w:color w:val="000000"/>
          <w:sz w:val="32"/>
          <w:szCs w:val="32"/>
        </w:rPr>
        <w:t>εκδ</w:t>
      </w:r>
      <w:proofErr w:type="spellEnd"/>
      <w:r w:rsidRPr="00CF0DDC">
        <w:rPr>
          <w:rFonts w:asciiTheme="minorHAnsi" w:hAnsiTheme="minorHAnsi" w:cstheme="minorHAnsi"/>
          <w:color w:val="000000"/>
          <w:sz w:val="32"/>
          <w:szCs w:val="32"/>
        </w:rPr>
        <w:t>. Ελληνικά Γράμματα, 2000</w:t>
      </w:r>
    </w:p>
    <w:p w:rsidR="00AA7126" w:rsidRPr="00CF0DDC" w:rsidRDefault="00AA7126">
      <w:pPr>
        <w:rPr>
          <w:rFonts w:cstheme="minorHAnsi"/>
          <w:sz w:val="32"/>
          <w:szCs w:val="32"/>
        </w:rPr>
      </w:pPr>
    </w:p>
    <w:sectPr w:rsidR="00AA7126" w:rsidRPr="00CF0DDC" w:rsidSect="00886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F8"/>
    <w:rsid w:val="0043271A"/>
    <w:rsid w:val="007337CE"/>
    <w:rsid w:val="008860F8"/>
    <w:rsid w:val="00AA7126"/>
    <w:rsid w:val="00C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5721"/>
  <w15:chartTrackingRefBased/>
  <w15:docId w15:val="{5E45E589-9CF2-4961-9C8E-91EBB328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4j">
    <w:name w:val="ca14j"/>
    <w:basedOn w:val="a"/>
    <w:rsid w:val="0088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4">
    <w:name w:val="ca14"/>
    <w:basedOn w:val="a"/>
    <w:rsid w:val="0088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2024-10-10T17:50:00Z</dcterms:created>
  <dcterms:modified xsi:type="dcterms:W3CDTF">2024-10-15T16:45:00Z</dcterms:modified>
</cp:coreProperties>
</file>