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5" w:rsidRDefault="000F7935" w:rsidP="000F7935">
      <w:pPr>
        <w:jc w:val="both"/>
        <w:rPr>
          <w:u w:val="single"/>
          <w:lang w:val="en-US"/>
        </w:rPr>
      </w:pP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5.5.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ΑΤΟΜΙΚΗ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ΚΑΘΑΡΙΟΤΗΤΑ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ΤΟΥ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ΣΩΜΑΤΟΣ</w:t>
      </w:r>
    </w:p>
    <w:p w:rsidR="000F7935" w:rsidRPr="00B60CA4" w:rsidRDefault="000F7935" w:rsidP="000F7935">
      <w:pPr>
        <w:jc w:val="both"/>
        <w:rPr>
          <w:rStyle w:val="a3"/>
          <w:u w:val="single"/>
          <w:shd w:val="clear" w:color="auto" w:fill="FFFFFF"/>
        </w:rPr>
      </w:pPr>
      <w:r w:rsidRPr="00B60CA4">
        <w:rPr>
          <w:u w:val="single"/>
        </w:rPr>
        <w:t xml:space="preserve">Διδάσκουσα. Κωνσταντίνα </w:t>
      </w:r>
      <w:proofErr w:type="spellStart"/>
      <w:r w:rsidRPr="00B60CA4">
        <w:rPr>
          <w:u w:val="single"/>
        </w:rPr>
        <w:t>Σταθοπούλου</w:t>
      </w:r>
      <w:proofErr w:type="spellEnd"/>
      <w:r w:rsidRPr="00B60CA4">
        <w:rPr>
          <w:u w:val="single"/>
        </w:rPr>
        <w:t xml:space="preserve"> ΠΕ.87.09 </w:t>
      </w:r>
      <w:proofErr w:type="spellStart"/>
      <w:r w:rsidRPr="00B60CA4">
        <w:rPr>
          <w:u w:val="single"/>
        </w:rPr>
        <w:t>Βρεφονηπιοκομίας</w:t>
      </w:r>
      <w:proofErr w:type="spellEnd"/>
      <w:r w:rsidRPr="00B60CA4">
        <w:rPr>
          <w:u w:val="single"/>
        </w:rPr>
        <w:t xml:space="preserve"> – ΠΕ.23 Ψυχολόγος – </w:t>
      </w:r>
      <w:proofErr w:type="spellStart"/>
      <w:r w:rsidRPr="00B60CA4">
        <w:rPr>
          <w:u w:val="single"/>
          <w:lang w:val="en-US"/>
        </w:rPr>
        <w:t>MSc</w:t>
      </w:r>
      <w:proofErr w:type="spellEnd"/>
      <w:r w:rsidRPr="00B60CA4">
        <w:rPr>
          <w:u w:val="single"/>
        </w:rPr>
        <w:t xml:space="preserve"> (</w:t>
      </w:r>
      <w:r>
        <w:rPr>
          <w:u w:val="single"/>
        </w:rPr>
        <w:t>Διαπανεπιστημιακό Μεταπτυχιακό «</w:t>
      </w:r>
      <w:r w:rsidRPr="00B60CA4">
        <w:rPr>
          <w:u w:val="single"/>
        </w:rPr>
        <w:t>Επιστήμες της Αγωγής - Διαταραχές Προφορικού και Γραπτού Λόγου ΕΑΠ-Πανεπιστημίου Θεσσαλίας</w:t>
      </w:r>
      <w:r>
        <w:rPr>
          <w:u w:val="single"/>
        </w:rPr>
        <w:t>»</w:t>
      </w:r>
      <w:r w:rsidRPr="00B60CA4">
        <w:rPr>
          <w:u w:val="single"/>
        </w:rPr>
        <w:t xml:space="preserve">). Τα πνευματικά δικαιώματα προστατεύονται με το νόμο </w:t>
      </w:r>
      <w:r w:rsidRPr="00B60CA4">
        <w:rPr>
          <w:rStyle w:val="a3"/>
          <w:rFonts w:ascii="Helvetica" w:hAnsi="Helvetica"/>
          <w:u w:val="single"/>
          <w:shd w:val="clear" w:color="auto" w:fill="FFFFFF"/>
        </w:rPr>
        <w:t>ΝΟΜΟΣ ΥΠ'ΑΡΙΘ.2121 ΦΕΚ Α΄25/3.3.1993</w:t>
      </w:r>
      <w:r w:rsidRPr="00B60CA4">
        <w:rPr>
          <w:rStyle w:val="a3"/>
          <w:u w:val="single"/>
          <w:shd w:val="clear" w:color="auto" w:fill="FFFFFF"/>
        </w:rPr>
        <w:t>.</w:t>
      </w:r>
      <w:r>
        <w:rPr>
          <w:rStyle w:val="a3"/>
          <w:u w:val="single"/>
          <w:shd w:val="clear" w:color="auto" w:fill="FFFFFF"/>
        </w:rPr>
        <w:t xml:space="preserve"> </w:t>
      </w:r>
    </w:p>
    <w:p w:rsidR="000F7935" w:rsidRDefault="000F7935" w:rsidP="000F7935">
      <w:pPr>
        <w:jc w:val="both"/>
        <w:rPr>
          <w:rStyle w:val="a3"/>
          <w:u w:val="single"/>
          <w:shd w:val="clear" w:color="auto" w:fill="FFFFFF"/>
        </w:rPr>
      </w:pPr>
      <w:r w:rsidRPr="00B210D3">
        <w:rPr>
          <w:b/>
          <w:i/>
          <w:sz w:val="24"/>
          <w:szCs w:val="24"/>
          <w:u w:val="single"/>
        </w:rPr>
        <w:t>Βοηθητικές ερωτήσεις για την καλύτερη κατανόηση του μαθήματος.</w:t>
      </w:r>
      <w:r>
        <w:rPr>
          <w:b/>
          <w:i/>
          <w:sz w:val="24"/>
          <w:szCs w:val="24"/>
          <w:u w:val="single"/>
        </w:rPr>
        <w:t xml:space="preserve"> Οι ερωτήσεις είναι ενδεικτικές. Ο κάθε μαθητής-μαθήτρια μπορεί να δώσει τις δικές του ερωτήσεις για την καλύτερη κατανόηση και εμπέδωση του μαθήματος.</w:t>
      </w:r>
      <w:r w:rsidRPr="006C61E1">
        <w:rPr>
          <w:rStyle w:val="a3"/>
          <w:u w:val="single"/>
          <w:shd w:val="clear" w:color="auto" w:fill="FFFFFF"/>
        </w:rPr>
        <w:t xml:space="preserve"> </w:t>
      </w:r>
      <w:r>
        <w:rPr>
          <w:rStyle w:val="a3"/>
          <w:u w:val="single"/>
          <w:shd w:val="clear" w:color="auto" w:fill="FFFFFF"/>
        </w:rPr>
        <w:t>(26/01/2021).</w:t>
      </w:r>
    </w:p>
    <w:p w:rsidR="00AA5600" w:rsidRDefault="00AA5600" w:rsidP="000F7935">
      <w:pPr>
        <w:jc w:val="both"/>
        <w:rPr>
          <w:rStyle w:val="a3"/>
          <w:u w:val="single"/>
          <w:shd w:val="clear" w:color="auto" w:fill="FFFFFF"/>
        </w:rPr>
      </w:pPr>
    </w:p>
    <w:p w:rsidR="00AA5600" w:rsidRDefault="00AA5600" w:rsidP="000F7935">
      <w:pPr>
        <w:jc w:val="both"/>
        <w:rPr>
          <w:rStyle w:val="a3"/>
          <w:u w:val="single"/>
          <w:shd w:val="clear" w:color="auto" w:fill="FFFFFF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ΑΤΟΜΙΚΗ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ΚΑΘΑΡΙΟΤΗΤΑ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ΤΟΥ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ΣΩΜΑΤΟΣ</w:t>
      </w:r>
    </w:p>
    <w:p w:rsidR="0098283C" w:rsidRDefault="0098283C" w:rsidP="0098283C">
      <w:pPr>
        <w:pStyle w:val="a4"/>
        <w:numPr>
          <w:ilvl w:val="0"/>
          <w:numId w:val="1"/>
        </w:numPr>
        <w:jc w:val="both"/>
        <w:rPr>
          <w:rStyle w:val="a3"/>
          <w:b w:val="0"/>
          <w:i/>
          <w:shd w:val="clear" w:color="auto" w:fill="FFFFFF"/>
        </w:rPr>
      </w:pPr>
      <w:r w:rsidRPr="0098283C">
        <w:rPr>
          <w:rStyle w:val="a3"/>
          <w:b w:val="0"/>
          <w:i/>
          <w:shd w:val="clear" w:color="auto" w:fill="FFFFFF"/>
        </w:rPr>
        <w:t>Τι είναι καθαριότητα σώματος;</w:t>
      </w:r>
    </w:p>
    <w:p w:rsidR="0098283C" w:rsidRDefault="00AA5600" w:rsidP="0098283C">
      <w:pPr>
        <w:pStyle w:val="a4"/>
        <w:numPr>
          <w:ilvl w:val="0"/>
          <w:numId w:val="1"/>
        </w:numPr>
        <w:jc w:val="both"/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Ποια είναι τα φυσικοχημικά και μηχανικά μέσα που χρησιμοποιούνται;</w:t>
      </w:r>
    </w:p>
    <w:p w:rsidR="00AA5600" w:rsidRDefault="00AA5600" w:rsidP="0098283C">
      <w:pPr>
        <w:pStyle w:val="a4"/>
        <w:numPr>
          <w:ilvl w:val="0"/>
          <w:numId w:val="1"/>
        </w:numPr>
        <w:jc w:val="both"/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προσφέρει η καθαριότητα του σώματος;</w:t>
      </w:r>
    </w:p>
    <w:p w:rsidR="00AA5600" w:rsidRDefault="00AA5600" w:rsidP="00AA5600">
      <w:pPr>
        <w:jc w:val="both"/>
        <w:rPr>
          <w:rStyle w:val="a3"/>
          <w:b w:val="0"/>
          <w:i/>
          <w:shd w:val="clear" w:color="auto" w:fill="FFFFFF"/>
        </w:rPr>
      </w:pPr>
    </w:p>
    <w:p w:rsidR="00AA5600" w:rsidRDefault="00AA5600" w:rsidP="00AA5600">
      <w:pPr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t>ΦΡΟΝΤΙΔΑ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ΤΟΥ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ΔΕΡΜΑΤΟΣ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Να περιγράψετε τη διαδικασία καθαριότητας του δέρματος.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Να περιγράψετε τη διαδικασία με την οποία πρέπει να πλένονται σωστά τα πόδια.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Πώς πρέπει να πλένονται τα χέρια;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Πώς πρέπει να κόβονται τα νύχια;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Γιατί τα χέρια και ιδιαίτερα τα νύχια, χρειάζονται ιδιαίτερη προσοχή;</w:t>
      </w:r>
    </w:p>
    <w:p w:rsidR="00AA5600" w:rsidRDefault="00AA5600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 xml:space="preserve">Πώς γίνεται η καθαριότητα των γεννητικών </w:t>
      </w:r>
      <w:r w:rsidR="00C6215D">
        <w:rPr>
          <w:rStyle w:val="a3"/>
          <w:b w:val="0"/>
          <w:i/>
          <w:shd w:val="clear" w:color="auto" w:fill="FFFFFF"/>
        </w:rPr>
        <w:t>οργάνων και κυρίως κατά τις μέρες της περιόδου;</w:t>
      </w:r>
    </w:p>
    <w:p w:rsidR="00C6215D" w:rsidRDefault="00C6215D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Πώς γίνεται η καθαριότητα των μαλλιών;, τι είναι η πιτυρίδα και πώς θεραπεύεται;</w:t>
      </w:r>
    </w:p>
    <w:p w:rsidR="00C6215D" w:rsidRDefault="00C6215D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 xml:space="preserve">Πώς γίνεται η καθαριότητα των αφτιών;, πού χρειάζονται ιδιαίτερη προσοχή;  ποια είναι η πιο απλή πάθηση;, </w:t>
      </w:r>
    </w:p>
    <w:p w:rsidR="00C6215D" w:rsidRDefault="00C6215D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Πώς προστατεύονται τα μάτια;</w:t>
      </w:r>
    </w:p>
    <w:p w:rsidR="00C6215D" w:rsidRDefault="00C6215D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Ποιοι παράγοντες ασκούν βλαπτική επίδραση στα μάτια;</w:t>
      </w:r>
    </w:p>
    <w:p w:rsidR="00C6215D" w:rsidRDefault="00C6215D" w:rsidP="00AA5600">
      <w:pPr>
        <w:pStyle w:val="a4"/>
        <w:numPr>
          <w:ilvl w:val="0"/>
          <w:numId w:val="2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Ποια είναι τα μέτρα προφύλαξης από τους βλαπτικούς παράγοντες που ασκούν βλαπτική επίδραση στα μάτια;</w:t>
      </w:r>
    </w:p>
    <w:p w:rsidR="00C6215D" w:rsidRDefault="00C6215D" w:rsidP="00C6215D">
      <w:pPr>
        <w:rPr>
          <w:rStyle w:val="a3"/>
          <w:b w:val="0"/>
          <w:i/>
          <w:shd w:val="clear" w:color="auto" w:fill="FFFFFF"/>
        </w:rPr>
      </w:pPr>
    </w:p>
    <w:p w:rsidR="008724D0" w:rsidRDefault="008724D0" w:rsidP="00C6215D">
      <w:pPr>
        <w:rPr>
          <w:rStyle w:val="a3"/>
          <w:b w:val="0"/>
          <w:i/>
          <w:shd w:val="clear" w:color="auto" w:fill="FFFFFF"/>
        </w:rPr>
      </w:pPr>
    </w:p>
    <w:p w:rsidR="008724D0" w:rsidRDefault="008724D0" w:rsidP="00C6215D">
      <w:pPr>
        <w:rPr>
          <w:rStyle w:val="a3"/>
          <w:b w:val="0"/>
          <w:i/>
          <w:shd w:val="clear" w:color="auto" w:fill="FFFFFF"/>
        </w:rPr>
      </w:pPr>
    </w:p>
    <w:p w:rsidR="008724D0" w:rsidRDefault="008724D0" w:rsidP="00C6215D">
      <w:pPr>
        <w:rPr>
          <w:rStyle w:val="a3"/>
          <w:b w:val="0"/>
          <w:i/>
          <w:shd w:val="clear" w:color="auto" w:fill="FFFFFF"/>
        </w:rPr>
      </w:pPr>
    </w:p>
    <w:p w:rsidR="00C6215D" w:rsidRDefault="00C6215D" w:rsidP="00C6215D">
      <w:pPr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lastRenderedPageBreak/>
        <w:t>ΣΤΟΜΑΤΙΚΗ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ΥΓΙΕΙΝΗ</w:t>
      </w:r>
    </w:p>
    <w:p w:rsidR="00C6215D" w:rsidRDefault="00C6215D" w:rsidP="00C6215D">
      <w:pPr>
        <w:rPr>
          <w:rFonts w:eastAsia="TimesNewRomanPS-BoldMT" w:cs="TimesNewRomanPS-BoldMT"/>
          <w:b/>
          <w:bCs/>
          <w:color w:val="3334EB"/>
        </w:rPr>
      </w:pPr>
    </w:p>
    <w:p w:rsidR="00C6215D" w:rsidRDefault="00C6215D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περιλαμβάνει η στοματική υγιειν</w:t>
      </w:r>
      <w:r w:rsidR="003D372E">
        <w:rPr>
          <w:rStyle w:val="a3"/>
          <w:b w:val="0"/>
          <w:i/>
          <w:shd w:val="clear" w:color="auto" w:fill="FFFFFF"/>
        </w:rPr>
        <w:t>ή;, τι όργανο αποτελεί η στοματική κοιλότητα;</w:t>
      </w:r>
    </w:p>
    <w:p w:rsidR="003D372E" w:rsidRDefault="003D372E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Ποιες είναι οι κυριότερες λειτουργίες της στοματικής κοιλότητας;</w:t>
      </w:r>
    </w:p>
    <w:p w:rsidR="003D372E" w:rsidRDefault="003D372E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Γιατί η στοματική υγεία είναι σημαντική;</w:t>
      </w:r>
    </w:p>
    <w:p w:rsidR="003D372E" w:rsidRDefault="003D372E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Ποια είναι τα κύρια νοσήματα που προσβάλλουν το στόμα;</w:t>
      </w:r>
    </w:p>
    <w:p w:rsidR="003D372E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νόσος είναι η τερηδόνα;, τι προσβάλλει;, πού επεκτείνεται;</w:t>
      </w:r>
    </w:p>
    <w:p w:rsidR="00C62998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Η δημιουργία τερηδόνας από ποιους παράγοντες εξαρτάται;</w:t>
      </w:r>
    </w:p>
    <w:p w:rsidR="00C62998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Πού δημιουργείται αρχικά η τερηδόνα;, ποια στάδια ακολουθεί έως ότου προκληθεί τερηδόνα στα δόντια;</w:t>
      </w:r>
    </w:p>
    <w:p w:rsidR="00C62998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γίνεται όταν τα δόντια δεν βουρτσίζονται;</w:t>
      </w:r>
    </w:p>
    <w:p w:rsidR="00C62998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συμβάλλει στον τερηδονισμό των δοντιών; πώς πρέπει να τρώγεται ένα γλυκό;</w:t>
      </w:r>
    </w:p>
    <w:p w:rsidR="00A24894" w:rsidRDefault="00A24894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Γιατί τα μικρά παιδιά χρειάζονται ιδιαίτερη προσοχή;</w:t>
      </w:r>
    </w:p>
    <w:p w:rsidR="00A24894" w:rsidRDefault="00A24894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Τι είναι «το σύνδρομο της φιάλης του γάλακτος»;</w:t>
      </w:r>
    </w:p>
    <w:p w:rsidR="00C62998" w:rsidRDefault="00C62998" w:rsidP="00C6215D">
      <w:pPr>
        <w:pStyle w:val="a4"/>
        <w:numPr>
          <w:ilvl w:val="0"/>
          <w:numId w:val="3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Ποιες είναι οι επιπτώσεις των τερηδονισμένων δοντιών στα μικρά παιδιά;</w:t>
      </w:r>
    </w:p>
    <w:p w:rsidR="009B05D8" w:rsidRPr="009B05D8" w:rsidRDefault="009B05D8" w:rsidP="009B05D8">
      <w:pPr>
        <w:rPr>
          <w:rStyle w:val="a3"/>
          <w:b w:val="0"/>
          <w:i/>
          <w:shd w:val="clear" w:color="auto" w:fill="FFFFFF"/>
        </w:rPr>
      </w:pPr>
    </w:p>
    <w:p w:rsidR="00C62998" w:rsidRDefault="009B05D8" w:rsidP="009B05D8">
      <w:pPr>
        <w:jc w:val="center"/>
        <w:rPr>
          <w:rFonts w:eastAsia="TimesNewRomanPS-BoldMT" w:cs="TimesNewRomanPS-BoldMT"/>
          <w:b/>
          <w:bCs/>
        </w:rPr>
      </w:pPr>
      <w:proofErr w:type="spellStart"/>
      <w:proofErr w:type="gramStart"/>
      <w:r>
        <w:rPr>
          <w:rFonts w:ascii="TimesNewRomanPS-BoldMT" w:eastAsia="TimesNewRomanPS-BoldMT" w:cs="TimesNewRomanPS-BoldMT" w:hint="eastAsia"/>
          <w:b/>
          <w:bCs/>
        </w:rPr>
        <w:t>Νοσήματα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του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περιοδοντίου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(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ουλίτιδα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,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περιοδοντίτιδα</w:t>
      </w:r>
      <w:proofErr w:type="spellEnd"/>
      <w:r>
        <w:rPr>
          <w:rFonts w:ascii="TimesNewRomanPS-BoldMT" w:eastAsia="TimesNewRomanPS-BoldMT" w:cs="TimesNewRomanPS-BoldMT"/>
          <w:b/>
          <w:bCs/>
        </w:rPr>
        <w:t>).</w:t>
      </w:r>
      <w:proofErr w:type="gramEnd"/>
    </w:p>
    <w:p w:rsidR="009B05D8" w:rsidRDefault="009B05D8" w:rsidP="009B05D8">
      <w:pPr>
        <w:jc w:val="center"/>
        <w:rPr>
          <w:rFonts w:eastAsia="TimesNewRomanPS-BoldMT" w:cs="TimesNewRomanPS-BoldMT"/>
          <w:b/>
          <w:bCs/>
        </w:rPr>
      </w:pPr>
    </w:p>
    <w:p w:rsidR="009B05D8" w:rsidRDefault="009B05D8" w:rsidP="009B05D8">
      <w:pPr>
        <w:pStyle w:val="a4"/>
        <w:numPr>
          <w:ilvl w:val="0"/>
          <w:numId w:val="4"/>
        </w:numPr>
        <w:rPr>
          <w:rStyle w:val="a3"/>
          <w:b w:val="0"/>
          <w:i/>
          <w:shd w:val="clear" w:color="auto" w:fill="FFFFFF"/>
        </w:rPr>
      </w:pPr>
      <w:r>
        <w:rPr>
          <w:rStyle w:val="a3"/>
          <w:b w:val="0"/>
          <w:i/>
          <w:shd w:val="clear" w:color="auto" w:fill="FFFFFF"/>
        </w:rPr>
        <w:t>Πώς εμφανίζονται τα νοσήματα του περιοδοντίου στα παιδιά και στους ενήλικες; Τι επιπτώσεις έχουν στους ιστούς των δοντιών;</w:t>
      </w:r>
    </w:p>
    <w:p w:rsidR="009B05D8" w:rsidRPr="00C655B9" w:rsidRDefault="009B05D8" w:rsidP="009B05D8">
      <w:pPr>
        <w:pStyle w:val="a4"/>
        <w:numPr>
          <w:ilvl w:val="0"/>
          <w:numId w:val="4"/>
        </w:numPr>
        <w:rPr>
          <w:rStyle w:val="a3"/>
          <w:b w:val="0"/>
          <w:i/>
          <w:shd w:val="clear" w:color="auto" w:fill="FFFFFF"/>
        </w:rPr>
      </w:pPr>
      <w:r w:rsidRPr="00C655B9">
        <w:rPr>
          <w:rStyle w:val="a3"/>
          <w:b w:val="0"/>
          <w:i/>
          <w:shd w:val="clear" w:color="auto" w:fill="FFFFFF"/>
        </w:rPr>
        <w:t>Πώς εμφανίζεται αρχικά η περιοδοντική νόσος;</w:t>
      </w:r>
    </w:p>
    <w:p w:rsidR="009B05D8" w:rsidRPr="00C655B9" w:rsidRDefault="009B05D8" w:rsidP="009B05D8">
      <w:pPr>
        <w:pStyle w:val="a4"/>
        <w:numPr>
          <w:ilvl w:val="0"/>
          <w:numId w:val="4"/>
        </w:numPr>
        <w:rPr>
          <w:rStyle w:val="a3"/>
          <w:b w:val="0"/>
          <w:i/>
          <w:shd w:val="clear" w:color="auto" w:fill="FFFFFF"/>
        </w:rPr>
      </w:pPr>
      <w:r w:rsidRPr="00C655B9">
        <w:rPr>
          <w:rStyle w:val="a3"/>
          <w:b w:val="0"/>
          <w:i/>
          <w:shd w:val="clear" w:color="auto" w:fill="FFFFFF"/>
        </w:rPr>
        <w:t>Τι είναι η ουλίτιδα;, τι είναι η περιοδοντίτιδα;</w:t>
      </w:r>
    </w:p>
    <w:p w:rsidR="009B05D8" w:rsidRPr="00C655B9" w:rsidRDefault="009B05D8" w:rsidP="009B05D8">
      <w:pPr>
        <w:pStyle w:val="a4"/>
        <w:numPr>
          <w:ilvl w:val="0"/>
          <w:numId w:val="4"/>
        </w:numPr>
        <w:rPr>
          <w:rStyle w:val="a3"/>
          <w:b w:val="0"/>
          <w:i/>
          <w:shd w:val="clear" w:color="auto" w:fill="FFFFFF"/>
        </w:rPr>
      </w:pPr>
      <w:r w:rsidRPr="00C655B9">
        <w:rPr>
          <w:rStyle w:val="a3"/>
          <w:b w:val="0"/>
          <w:i/>
          <w:shd w:val="clear" w:color="auto" w:fill="FFFFFF"/>
        </w:rPr>
        <w:t>Ποιοι παράγοντες συμβάλλουν για τη δημιουργία νοσημάτων του περιοδοντίου;</w:t>
      </w:r>
    </w:p>
    <w:p w:rsidR="009B05D8" w:rsidRPr="00C655B9" w:rsidRDefault="003149B5" w:rsidP="009B05D8">
      <w:pPr>
        <w:pStyle w:val="a4"/>
        <w:numPr>
          <w:ilvl w:val="0"/>
          <w:numId w:val="4"/>
        </w:numPr>
        <w:rPr>
          <w:rStyle w:val="a3"/>
          <w:b w:val="0"/>
          <w:i/>
          <w:shd w:val="clear" w:color="auto" w:fill="FFFFFF"/>
        </w:rPr>
      </w:pPr>
      <w:r w:rsidRPr="00C655B9">
        <w:rPr>
          <w:rStyle w:val="a3"/>
          <w:b w:val="0"/>
          <w:i/>
          <w:shd w:val="clear" w:color="auto" w:fill="FFFFFF"/>
        </w:rPr>
        <w:t>ποια είναι τα μέτρα προφύλαξης για τα νοσήματα του περιοδοντίου;</w:t>
      </w:r>
    </w:p>
    <w:p w:rsidR="003149B5" w:rsidRPr="003149B5" w:rsidRDefault="003149B5" w:rsidP="003149B5">
      <w:pPr>
        <w:rPr>
          <w:rStyle w:val="a3"/>
          <w:b w:val="0"/>
          <w:i/>
          <w:shd w:val="clear" w:color="auto" w:fill="FFFFFF"/>
        </w:rPr>
      </w:pPr>
    </w:p>
    <w:p w:rsidR="003149B5" w:rsidRDefault="003149B5" w:rsidP="003149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t>ΣΩΜΑΤΙΚΗ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ΑΣΚΗΣΗ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-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ΠΡΟΛΗΠΤΙΚΗ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ΟΡΘΟΠΕΔΙΚΗ</w:t>
      </w:r>
    </w:p>
    <w:p w:rsidR="003149B5" w:rsidRDefault="003149B5" w:rsidP="00C655B9">
      <w:pPr>
        <w:ind w:left="360"/>
        <w:jc w:val="center"/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</w:pPr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Νοῦς</w:t>
      </w:r>
      <w:proofErr w:type="spellEnd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ὑγιὴς</w:t>
      </w:r>
      <w:proofErr w:type="spellEnd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ἐν</w:t>
      </w:r>
      <w:proofErr w:type="spellEnd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 xml:space="preserve"> σώματι </w:t>
      </w:r>
      <w:proofErr w:type="spellStart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ὑγιεῖ</w:t>
      </w:r>
      <w:proofErr w:type="spellEnd"/>
      <w:r w:rsidRPr="003149B5"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>»</w:t>
      </w:r>
    </w:p>
    <w:p w:rsidR="00C655B9" w:rsidRDefault="00C655B9" w:rsidP="00C655B9">
      <w:pPr>
        <w:ind w:left="360"/>
        <w:jc w:val="center"/>
        <w:rPr>
          <w:rFonts w:ascii="TimesNewRomanPS-ItalicMT" w:eastAsia="TimesNewRomanPS-BoldMT" w:hAnsi="TimesNewRomanPS-ItalicMT" w:cs="TimesNewRomanPS-ItalicMT"/>
          <w:b/>
          <w:i/>
          <w:iCs/>
          <w:color w:val="000000"/>
          <w:sz w:val="28"/>
          <w:szCs w:val="28"/>
          <w:u w:val="single"/>
        </w:rPr>
      </w:pP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 w:rsidRPr="00C655B9"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 xml:space="preserve">Ποιος ήταν ο ρόλος του γυμναστή στην αρχαία Ελλάδα; </w:t>
      </w: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Τι πίστευαν οι Αρχαίοι Έλληνες;</w:t>
      </w: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Σε τι συμβάλλει η σωματική άσκηση;</w:t>
      </w: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Ποια είναι τα σημαντικότερα νοσήματα που απαντούν κατά την ανάπτυξη;</w:t>
      </w: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Πώς γίνεται ο προληπτικός έλεγχος για σκολίωση και κύφωση;</w:t>
      </w: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 xml:space="preserve">Πώς επιτυγχάνεται η σωστή φροντίδα του </w:t>
      </w:r>
      <w:proofErr w:type="spellStart"/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μυοσκελετικού</w:t>
      </w:r>
      <w:proofErr w:type="spellEnd"/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 xml:space="preserve"> συστήματος;</w:t>
      </w:r>
    </w:p>
    <w:p w:rsidR="00C655B9" w:rsidRDefault="00C655B9" w:rsidP="00C655B9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Γιατί είναι σημαντική η σωστή στάση του σώματος;</w:t>
      </w:r>
    </w:p>
    <w:p w:rsidR="00957117" w:rsidRDefault="00C655B9" w:rsidP="00957117">
      <w:pPr>
        <w:pStyle w:val="a4"/>
        <w:numPr>
          <w:ilvl w:val="0"/>
          <w:numId w:val="6"/>
        </w:num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>Ποια είναι η συνηθισμένη μορφή παραμόρφωσης;</w:t>
      </w:r>
    </w:p>
    <w:p w:rsidR="00957117" w:rsidRDefault="00957117" w:rsidP="00957117">
      <w:p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</w:p>
    <w:p w:rsidR="00957117" w:rsidRDefault="00957117" w:rsidP="00957117">
      <w:p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</w:p>
    <w:p w:rsidR="00957117" w:rsidRDefault="00957117" w:rsidP="00957117">
      <w:p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</w:p>
    <w:p w:rsidR="00957117" w:rsidRDefault="00957117" w:rsidP="00957117">
      <w:p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</w:p>
    <w:p w:rsidR="00957117" w:rsidRDefault="00957117" w:rsidP="00957117">
      <w:pP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</w:pPr>
    </w:p>
    <w:p w:rsidR="00957117" w:rsidRPr="0081349F" w:rsidRDefault="00957117" w:rsidP="00957117">
      <w:pPr>
        <w:jc w:val="center"/>
        <w:rPr>
          <w:rStyle w:val="a3"/>
          <w:rFonts w:ascii="TimesNewRomanPS-ItalicMT" w:eastAsia="TimesNewRomanPS-BoldMT" w:hAnsi="TimesNewRomanPS-ItalicMT" w:cs="TimesNewRomanPS-ItalicMT"/>
          <w:bCs w:val="0"/>
          <w:i/>
          <w:iCs/>
          <w:color w:val="000000"/>
        </w:rPr>
      </w:pPr>
      <w:r w:rsidRPr="0081349F">
        <w:rPr>
          <w:rStyle w:val="a3"/>
          <w:rFonts w:ascii="TimesNewRomanPS-ItalicMT" w:eastAsia="TimesNewRomanPS-BoldMT" w:hAnsi="TimesNewRomanPS-ItalicMT" w:cs="TimesNewRomanPS-ItalicMT"/>
          <w:bCs w:val="0"/>
          <w:i/>
          <w:iCs/>
          <w:color w:val="000000"/>
        </w:rPr>
        <w:t>Λέξεις-κλειδιά</w:t>
      </w:r>
    </w:p>
    <w:p w:rsidR="00957117" w:rsidRDefault="00957117" w:rsidP="00294680">
      <w:pPr>
        <w:jc w:val="both"/>
        <w:rPr>
          <w:rFonts w:eastAsia="TimesNewRomanPS-BoldMT" w:cs="TimesNewRomanPS-BoldMT"/>
          <w:bCs/>
        </w:rPr>
      </w:pPr>
      <w:r>
        <w:rPr>
          <w:rStyle w:val="a3"/>
          <w:rFonts w:ascii="TimesNewRomanPS-ItalicMT" w:eastAsia="TimesNewRomanPS-BoldMT" w:hAnsi="TimesNewRomanPS-ItalicMT" w:cs="TimesNewRomanPS-ItalicMT"/>
          <w:b w:val="0"/>
          <w:bCs w:val="0"/>
          <w:i/>
          <w:iCs/>
          <w:color w:val="000000"/>
        </w:rPr>
        <w:t xml:space="preserve">(καθαριότητα δέρματος, πόδια, χέρια, </w:t>
      </w:r>
      <w:r w:rsidR="00A24894">
        <w:rPr>
          <w:rFonts w:eastAsia="TimesNewRomanPS-BoldMT" w:cs="TimesNewRomanPS-BoldMT"/>
          <w:bCs/>
        </w:rPr>
        <w:t>καθαριό</w:t>
      </w:r>
      <w:r w:rsidR="00A24894" w:rsidRPr="00A24894">
        <w:rPr>
          <w:rFonts w:eastAsia="TimesNewRomanPS-BoldMT" w:cs="TimesNewRomanPS-BoldMT"/>
          <w:bCs/>
        </w:rPr>
        <w:t>τητα</w:t>
      </w:r>
      <w:r w:rsidR="00A24894">
        <w:rPr>
          <w:rFonts w:eastAsia="TimesNewRomanPS-BoldMT" w:cs="TimesNewRomanPS-BoldMT"/>
          <w:bCs/>
        </w:rPr>
        <w:t xml:space="preserve"> </w:t>
      </w:r>
      <w:r w:rsidR="00A24894" w:rsidRPr="00A24894">
        <w:rPr>
          <w:rFonts w:eastAsia="TimesNewRomanPS-BoldMT" w:cs="TimesNewRomanPS-BoldMT"/>
          <w:bCs/>
        </w:rPr>
        <w:t xml:space="preserve"> </w:t>
      </w:r>
      <w:r w:rsidR="00A24894">
        <w:rPr>
          <w:rFonts w:eastAsia="TimesNewRomanPS-BoldMT" w:cs="TimesNewRomanPS-BoldMT"/>
          <w:bCs/>
        </w:rPr>
        <w:t xml:space="preserve">γεννητικών οργάνων-μαλλιών, αφτιά, μάτια, βλαπτική επίδραση, μέτρα προφύλαξης, στοματική υγιεινή, οδοντική τερηδόνα, </w:t>
      </w:r>
      <w:r w:rsidR="00294680">
        <w:rPr>
          <w:rFonts w:eastAsia="TimesNewRomanPS-BoldMT" w:cs="TimesNewRomanPS-BoldMT"/>
          <w:bCs/>
        </w:rPr>
        <w:t xml:space="preserve">σύνδρομο της φιάλης του γάλακτος, νοσήματα του περιοδοντίου, ουλίτιδα, περιοδοντίτιδα, οδοντική μικροβιακή πλάκα, οίδημα, σφραγίσματα, σωματική άσκηση, </w:t>
      </w:r>
      <w:proofErr w:type="spellStart"/>
      <w:r w:rsidR="00294680">
        <w:rPr>
          <w:rFonts w:eastAsia="TimesNewRomanPS-BoldMT" w:cs="TimesNewRomanPS-BoldMT"/>
          <w:bCs/>
        </w:rPr>
        <w:t>μυοσκελετικό</w:t>
      </w:r>
      <w:proofErr w:type="spellEnd"/>
      <w:r w:rsidR="00294680">
        <w:rPr>
          <w:rFonts w:eastAsia="TimesNewRomanPS-BoldMT" w:cs="TimesNewRomanPS-BoldMT"/>
          <w:bCs/>
        </w:rPr>
        <w:t xml:space="preserve"> σύστημα, καρδιά, αγγεία, χοληστερίνη, γλυκόζη, αναπνευστικό σύστημα, απεξάρτηση, υπερένταση, ορθοπεδική, σκολίωση, κύφωση, </w:t>
      </w:r>
      <w:proofErr w:type="spellStart"/>
      <w:r w:rsidR="00294680">
        <w:rPr>
          <w:rFonts w:eastAsia="TimesNewRomanPS-BoldMT" w:cs="TimesNewRomanPS-BoldMT"/>
          <w:bCs/>
        </w:rPr>
        <w:t>οστεοχονδρίτιδα</w:t>
      </w:r>
      <w:proofErr w:type="spellEnd"/>
      <w:r w:rsidR="0081349F">
        <w:rPr>
          <w:rFonts w:eastAsia="TimesNewRomanPS-BoldMT" w:cs="TimesNewRomanPS-BoldMT"/>
          <w:bCs/>
        </w:rPr>
        <w:t>).</w:t>
      </w: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Pr="0081349F" w:rsidRDefault="0081349F" w:rsidP="0081349F">
      <w:pPr>
        <w:jc w:val="center"/>
        <w:rPr>
          <w:rFonts w:eastAsia="TimesNewRomanPS-BoldMT" w:cs="TimesNewRomanPS-BoldMT"/>
          <w:b/>
          <w:bCs/>
          <w:i/>
          <w:sz w:val="28"/>
          <w:szCs w:val="28"/>
          <w:u w:val="single"/>
        </w:rPr>
      </w:pPr>
      <w:r w:rsidRPr="0081349F">
        <w:rPr>
          <w:rFonts w:eastAsia="TimesNewRomanPS-BoldMT" w:cs="TimesNewRomanPS-BoldMT"/>
          <w:b/>
          <w:bCs/>
          <w:i/>
          <w:sz w:val="28"/>
          <w:szCs w:val="28"/>
          <w:u w:val="single"/>
        </w:rPr>
        <w:t>Τέλος διδακτέας ύλης πανελλήνιου μαθήματος «Υγιεινή – Μικροβιολογία»</w:t>
      </w: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Default="0081349F" w:rsidP="00294680">
      <w:pPr>
        <w:jc w:val="both"/>
        <w:rPr>
          <w:rFonts w:eastAsia="TimesNewRomanPS-BoldMT" w:cs="TimesNewRomanPS-BoldMT"/>
          <w:bCs/>
        </w:rPr>
      </w:pPr>
    </w:p>
    <w:p w:rsidR="0081349F" w:rsidRPr="00A24894" w:rsidRDefault="0081349F" w:rsidP="00294680">
      <w:pPr>
        <w:jc w:val="both"/>
        <w:rPr>
          <w:rStyle w:val="a3"/>
          <w:rFonts w:eastAsia="TimesNewRomanPS-BoldMT" w:cs="TimesNewRomanPS-ItalicMT"/>
          <w:b w:val="0"/>
          <w:bCs w:val="0"/>
          <w:i/>
          <w:iCs/>
          <w:color w:val="000000"/>
        </w:rPr>
      </w:pPr>
    </w:p>
    <w:p w:rsidR="009B05D8" w:rsidRPr="009B05D8" w:rsidRDefault="009B05D8" w:rsidP="009B05D8">
      <w:pPr>
        <w:rPr>
          <w:rStyle w:val="a3"/>
          <w:b w:val="0"/>
          <w:i/>
          <w:shd w:val="clear" w:color="auto" w:fill="FFFFFF"/>
        </w:rPr>
      </w:pPr>
    </w:p>
    <w:p w:rsidR="00802B7B" w:rsidRDefault="00802B7B"/>
    <w:sectPr w:rsidR="00802B7B" w:rsidSect="00802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25" w:rsidRDefault="00935025" w:rsidP="00C6215D">
      <w:pPr>
        <w:spacing w:after="0" w:line="240" w:lineRule="auto"/>
      </w:pPr>
      <w:r>
        <w:separator/>
      </w:r>
    </w:p>
  </w:endnote>
  <w:endnote w:type="continuationSeparator" w:id="0">
    <w:p w:rsidR="00935025" w:rsidRDefault="00935025" w:rsidP="00C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5D" w:rsidRDefault="00C621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92532"/>
      <w:docPartObj>
        <w:docPartGallery w:val="Page Numbers (Bottom of Page)"/>
        <w:docPartUnique/>
      </w:docPartObj>
    </w:sdtPr>
    <w:sdtContent>
      <w:p w:rsidR="008724D0" w:rsidRDefault="008724D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215D" w:rsidRDefault="00C621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5D" w:rsidRDefault="00C621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25" w:rsidRDefault="00935025" w:rsidP="00C6215D">
      <w:pPr>
        <w:spacing w:after="0" w:line="240" w:lineRule="auto"/>
      </w:pPr>
      <w:r>
        <w:separator/>
      </w:r>
    </w:p>
  </w:footnote>
  <w:footnote w:type="continuationSeparator" w:id="0">
    <w:p w:rsidR="00935025" w:rsidRDefault="00935025" w:rsidP="00C6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5D" w:rsidRDefault="00C6215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83751" o:spid="_x0000_s2050" type="#_x0000_t136" style="position:absolute;margin-left:0;margin-top:0;width:569.75pt;height:15.6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5D" w:rsidRDefault="00C6215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83752" o:spid="_x0000_s2051" type="#_x0000_t136" style="position:absolute;margin-left:0;margin-top:0;width:569.75pt;height:15.6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5D" w:rsidRDefault="00C6215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83750" o:spid="_x0000_s2049" type="#_x0000_t136" style="position:absolute;margin-left:0;margin-top:0;width:569.75pt;height:15.6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583"/>
    <w:multiLevelType w:val="hybridMultilevel"/>
    <w:tmpl w:val="AD448ED6"/>
    <w:lvl w:ilvl="0" w:tplc="598E22BA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698"/>
    <w:multiLevelType w:val="hybridMultilevel"/>
    <w:tmpl w:val="0DEEAD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0C4F"/>
    <w:multiLevelType w:val="hybridMultilevel"/>
    <w:tmpl w:val="CBF4D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C051B"/>
    <w:multiLevelType w:val="hybridMultilevel"/>
    <w:tmpl w:val="31AE6BD0"/>
    <w:lvl w:ilvl="0" w:tplc="565C93DE">
      <w:start w:val="1"/>
      <w:numFmt w:val="decimal"/>
      <w:lvlText w:val="%1)"/>
      <w:lvlJc w:val="left"/>
      <w:pPr>
        <w:ind w:left="720" w:hanging="360"/>
      </w:pPr>
      <w:rPr>
        <w:rFonts w:ascii="TimesNewRomanPS-ItalicMT" w:eastAsia="TimesNewRomanPS-BoldMT" w:hAnsi="TimesNewRomanPS-ItalicMT" w:cs="TimesNewRomanPS-ItalicMT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1AB3"/>
    <w:multiLevelType w:val="hybridMultilevel"/>
    <w:tmpl w:val="01EC004E"/>
    <w:lvl w:ilvl="0" w:tplc="F360553A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i w:val="0"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145C6"/>
    <w:multiLevelType w:val="hybridMultilevel"/>
    <w:tmpl w:val="1974E630"/>
    <w:lvl w:ilvl="0" w:tplc="2000E4AC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i w:val="0"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F7935"/>
    <w:rsid w:val="00294680"/>
    <w:rsid w:val="003149B5"/>
    <w:rsid w:val="003D372E"/>
    <w:rsid w:val="00802B7B"/>
    <w:rsid w:val="0081349F"/>
    <w:rsid w:val="008724D0"/>
    <w:rsid w:val="00935025"/>
    <w:rsid w:val="00957117"/>
    <w:rsid w:val="0098283C"/>
    <w:rsid w:val="009B05D8"/>
    <w:rsid w:val="00A24894"/>
    <w:rsid w:val="00AA5600"/>
    <w:rsid w:val="00C6215D"/>
    <w:rsid w:val="00C62998"/>
    <w:rsid w:val="00C6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935"/>
    <w:rPr>
      <w:b/>
      <w:bCs/>
    </w:rPr>
  </w:style>
  <w:style w:type="paragraph" w:styleId="a4">
    <w:name w:val="List Paragraph"/>
    <w:basedOn w:val="a"/>
    <w:uiPriority w:val="34"/>
    <w:qFormat/>
    <w:rsid w:val="0098283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62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6215D"/>
  </w:style>
  <w:style w:type="paragraph" w:styleId="a6">
    <w:name w:val="footer"/>
    <w:basedOn w:val="a"/>
    <w:link w:val="Char0"/>
    <w:uiPriority w:val="99"/>
    <w:unhideWhenUsed/>
    <w:rsid w:val="00C62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6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9854-8411-4515-A7EA-F5076E28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6</cp:revision>
  <dcterms:created xsi:type="dcterms:W3CDTF">2021-02-04T17:46:00Z</dcterms:created>
  <dcterms:modified xsi:type="dcterms:W3CDTF">2021-02-04T19:46:00Z</dcterms:modified>
</cp:coreProperties>
</file>