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B4" w:rsidRPr="00B55D16" w:rsidRDefault="00B55D16" w:rsidP="00B55D16">
      <w:pPr>
        <w:jc w:val="center"/>
        <w:rPr>
          <w:b/>
        </w:rPr>
      </w:pPr>
      <w:r>
        <w:rPr>
          <w:b/>
        </w:rPr>
        <w:t>ΕΝΟΤΗΤΑ 14</w:t>
      </w:r>
      <w:r w:rsidRPr="00B55D16">
        <w:rPr>
          <w:b/>
          <w:vertAlign w:val="superscript"/>
        </w:rPr>
        <w:t>η</w:t>
      </w:r>
      <w:r>
        <w:rPr>
          <w:b/>
        </w:rPr>
        <w:t xml:space="preserve"> - </w:t>
      </w:r>
      <w:r w:rsidRPr="00B55D16">
        <w:rPr>
          <w:b/>
        </w:rPr>
        <w:t xml:space="preserve">Ξενοφών, </w:t>
      </w:r>
      <w:proofErr w:type="spellStart"/>
      <w:r w:rsidRPr="00B55D16">
        <w:rPr>
          <w:b/>
          <w:i/>
        </w:rPr>
        <w:t>Ἀπομνημονεύματα</w:t>
      </w:r>
      <w:proofErr w:type="spellEnd"/>
      <w:r w:rsidRPr="00B55D16">
        <w:rPr>
          <w:b/>
        </w:rPr>
        <w:t>, Γ 9.4-5</w:t>
      </w:r>
    </w:p>
    <w:p w:rsidR="00B55D16" w:rsidRDefault="00B55D16"/>
    <w:p w:rsidR="00B55D16" w:rsidRDefault="00B55D16" w:rsidP="00B55D16">
      <w:pPr>
        <w:ind w:firstLine="720"/>
      </w:pPr>
      <w:r>
        <w:t>Ότα</w:t>
      </w:r>
      <w:r>
        <w:t>ν επιπλέον τον ρωτούσαν αν αυτούς</w:t>
      </w:r>
      <w:r>
        <w:t xml:space="preserve"> που γνωρίζουν από τη μια όσα πρέπει να κάνουν, αλλά κάνουν τα αντίθετα, το</w:t>
      </w:r>
      <w:r>
        <w:t>υς θεωρεί σοφούς και ακόλαστους</w:t>
      </w:r>
      <w:r>
        <w:t xml:space="preserve">· </w:t>
      </w:r>
      <w:r>
        <w:t>«</w:t>
      </w:r>
      <w:r>
        <w:t>τίποτα περισσότερο</w:t>
      </w:r>
      <w:r>
        <w:t>»</w:t>
      </w:r>
      <w:r>
        <w:t xml:space="preserve"> </w:t>
      </w:r>
      <w:r>
        <w:t>έλεγε «παρά μη σοφούς και αχαλίνωτους</w:t>
      </w:r>
      <w:r>
        <w:rPr>
          <w:rFonts w:cstheme="minorHAnsi"/>
        </w:rPr>
        <w:t>∙</w:t>
      </w:r>
      <w:r>
        <w:t xml:space="preserve"> διότι πιστεύω ότι όλοι,  επιλέγοντας από όσα μπορούν</w:t>
      </w:r>
      <w:r>
        <w:t xml:space="preserve"> αυτά που πιστεύουν ότι είναι τα πιο συμφέροντα για τον εαυτό τους, αυτά πράττουν. Πιστεύω λοιπόν ότι αυτοί που δεν πράττουν σωστά δεν είναι ούτε σοφοί ούτε εγκρατείς.</w:t>
      </w:r>
    </w:p>
    <w:p w:rsidR="00B55D16" w:rsidRDefault="00B55D16" w:rsidP="00B55D16">
      <w:pPr>
        <w:ind w:firstLine="720"/>
      </w:pPr>
      <w:r>
        <w:t>Έλεγε ότι και η δικαιοσύνη και κάθε άλλη αρετή είναι σοφία, διότι τα δίκ</w:t>
      </w:r>
      <w:r w:rsidR="00D14B7E">
        <w:t>αια και όλα όσα με αρετή επιτυγχά</w:t>
      </w:r>
      <w:r>
        <w:t xml:space="preserve">νονται είναι ωραία και αγαθά· και αυτοί </w:t>
      </w:r>
      <w:r w:rsidR="00D14B7E">
        <w:t xml:space="preserve">(είπε) </w:t>
      </w:r>
      <w:r>
        <w:t xml:space="preserve">που γνωρίζουν αυτά δεν είναι δυνατόν κάτι άλλο αντί αυτού να προτιμήσουν ούτε αυτοί που δεν τα γνωρίζουν μπορούν να τα πράττουν, αλλά </w:t>
      </w:r>
      <w:r w:rsidR="00D14B7E">
        <w:t>ακόμα κι αν το επιχειρήσουν</w:t>
      </w:r>
      <w:r w:rsidR="00D14B7E">
        <w:t>, αποτυγχάν</w:t>
      </w:r>
      <w:r>
        <w:t>ουν.</w:t>
      </w:r>
    </w:p>
    <w:p w:rsidR="00B55D16" w:rsidRDefault="00B55D16" w:rsidP="00B55D16">
      <w:pPr>
        <w:ind w:firstLine="720"/>
      </w:pPr>
      <w:r>
        <w:t xml:space="preserve">Έτσι  οι σοφοί από τη μία πράττουν τα ωραία και τα αγαθά, ενώ οι μη σοφοί δεν μπορούν, αλλά </w:t>
      </w:r>
      <w:r w:rsidR="00D14B7E">
        <w:t>ακόμα κι αν προσπαθήσουν</w:t>
      </w:r>
      <w:r w:rsidR="00D14B7E">
        <w:t xml:space="preserve"> </w:t>
      </w:r>
      <w:r>
        <w:t xml:space="preserve">σφάλλουν. Επειδή λοιπόν και τα δίκαια και τα άλλα ωραία και αγαθά κατορθώνονται  μέσω της αρετής είναι φανερό </w:t>
      </w:r>
      <w:r w:rsidR="00D14B7E">
        <w:t xml:space="preserve">(είπε) </w:t>
      </w:r>
      <w:r>
        <w:t>ότι και η δικαιοσύνη κάθε άλλη αρετή είναι σοφία.</w:t>
      </w:r>
    </w:p>
    <w:p w:rsidR="00D14B7E" w:rsidRDefault="00D14B7E" w:rsidP="00B55D16">
      <w:pPr>
        <w:ind w:firstLine="720"/>
      </w:pPr>
    </w:p>
    <w:p w:rsidR="00D14B7E" w:rsidRDefault="00D14B7E" w:rsidP="00DB0311">
      <w:pPr>
        <w:jc w:val="center"/>
        <w:rPr>
          <w:b/>
        </w:rPr>
      </w:pPr>
      <w:r w:rsidRPr="00D14B7E">
        <w:rPr>
          <w:b/>
        </w:rPr>
        <w:t>Ασκήσεις</w:t>
      </w:r>
    </w:p>
    <w:p w:rsidR="00D14B7E" w:rsidRPr="00D14B7E" w:rsidRDefault="00D14B7E" w:rsidP="00D14B7E">
      <w:pPr>
        <w:rPr>
          <w:b/>
        </w:rPr>
      </w:pPr>
    </w:p>
    <w:p w:rsidR="00D14B7E" w:rsidRDefault="00D14B7E" w:rsidP="00D14B7E">
      <w:pPr>
        <w:pStyle w:val="a3"/>
        <w:numPr>
          <w:ilvl w:val="0"/>
          <w:numId w:val="1"/>
        </w:numPr>
        <w:ind w:left="284" w:hanging="284"/>
      </w:pPr>
      <w:r w:rsidRPr="00D14B7E">
        <w:rPr>
          <w:b/>
        </w:rPr>
        <w:t>ἐπισταμένους, πράττειν, ποιοῦντας</w:t>
      </w:r>
      <w:r w:rsidR="00DB0311">
        <w:rPr>
          <w:b/>
        </w:rPr>
        <w:t>, προελέσθαι</w:t>
      </w:r>
      <w:r w:rsidRPr="00D14B7E">
        <w:rPr>
          <w:b/>
        </w:rPr>
        <w:t>, ἁμαρτάνειν</w:t>
      </w:r>
      <w:r>
        <w:t>: χρονική αντικατάσταση</w:t>
      </w:r>
    </w:p>
    <w:p w:rsidR="00D14B7E" w:rsidRDefault="00D14B7E" w:rsidP="00D14B7E">
      <w:pPr>
        <w:pStyle w:val="a3"/>
        <w:numPr>
          <w:ilvl w:val="0"/>
          <w:numId w:val="1"/>
        </w:numPr>
        <w:ind w:left="284" w:hanging="284"/>
      </w:pPr>
      <w:r w:rsidRPr="00D14B7E">
        <w:rPr>
          <w:b/>
        </w:rPr>
        <w:t>νομίζοι</w:t>
      </w:r>
      <w:r>
        <w:t xml:space="preserve">: να </w:t>
      </w:r>
      <w:proofErr w:type="spellStart"/>
      <w:r>
        <w:t>κλιθεί</w:t>
      </w:r>
      <w:proofErr w:type="spellEnd"/>
      <w:r>
        <w:t xml:space="preserve"> η οριστική μέλλοντα</w:t>
      </w:r>
    </w:p>
    <w:p w:rsidR="00DB0311" w:rsidRDefault="00DB0311" w:rsidP="00D14B7E">
      <w:pPr>
        <w:pStyle w:val="a3"/>
        <w:numPr>
          <w:ilvl w:val="0"/>
          <w:numId w:val="1"/>
        </w:numPr>
        <w:ind w:left="284" w:hanging="284"/>
      </w:pPr>
      <w:r>
        <w:rPr>
          <w:b/>
        </w:rPr>
        <w:t>προελέσθαι</w:t>
      </w:r>
      <w:r w:rsidRPr="00DB0311">
        <w:t>:</w:t>
      </w:r>
      <w:r>
        <w:rPr>
          <w:b/>
        </w:rPr>
        <w:t xml:space="preserve"> </w:t>
      </w:r>
      <w:r>
        <w:t xml:space="preserve">να </w:t>
      </w:r>
      <w:proofErr w:type="spellStart"/>
      <w:r>
        <w:t>κλιθεί</w:t>
      </w:r>
      <w:proofErr w:type="spellEnd"/>
      <w:r>
        <w:t xml:space="preserve"> η προστακτική του ίδιου χρόνου</w:t>
      </w:r>
    </w:p>
    <w:p w:rsidR="00D14B7E" w:rsidRDefault="00D14B7E" w:rsidP="00D14B7E">
      <w:pPr>
        <w:pStyle w:val="a3"/>
        <w:numPr>
          <w:ilvl w:val="0"/>
          <w:numId w:val="1"/>
        </w:numPr>
        <w:ind w:left="284" w:hanging="284"/>
      </w:pPr>
      <w:r w:rsidRPr="00D14B7E">
        <w:rPr>
          <w:b/>
        </w:rPr>
        <w:t>εἰδότας</w:t>
      </w:r>
      <w:r>
        <w:t xml:space="preserve">: να </w:t>
      </w:r>
      <w:proofErr w:type="spellStart"/>
      <w:r>
        <w:t>κλιθεί</w:t>
      </w:r>
      <w:proofErr w:type="spellEnd"/>
      <w:r>
        <w:t xml:space="preserve"> σε ενικό και πληθυντικό</w:t>
      </w:r>
    </w:p>
    <w:p w:rsidR="00D14B7E" w:rsidRDefault="00D14B7E" w:rsidP="00D14B7E">
      <w:pPr>
        <w:pStyle w:val="a3"/>
        <w:numPr>
          <w:ilvl w:val="0"/>
          <w:numId w:val="1"/>
        </w:numPr>
        <w:ind w:left="284" w:hanging="284"/>
      </w:pPr>
      <w:r>
        <w:rPr>
          <w:b/>
        </w:rPr>
        <w:t>δύνασθαι</w:t>
      </w:r>
      <w:r w:rsidRPr="00D14B7E">
        <w:t>:</w:t>
      </w:r>
      <w:r>
        <w:t xml:space="preserve"> να γραφεί το γ΄ ενικό και γ΄ πληθυντικό σε όλες τις εγκλίσεις του ενεστώτα και  το απαρέμφατο του ενεστώτα</w:t>
      </w:r>
    </w:p>
    <w:p w:rsidR="00D14B7E" w:rsidRDefault="00DB0311" w:rsidP="00D14B7E">
      <w:pPr>
        <w:pStyle w:val="a3"/>
        <w:numPr>
          <w:ilvl w:val="0"/>
          <w:numId w:val="1"/>
        </w:numPr>
        <w:ind w:left="284" w:hanging="284"/>
      </w:pPr>
      <w:r>
        <w:rPr>
          <w:b/>
        </w:rPr>
        <w:t>σοφούς, ἀκρατεῖς, συμφορώτατα, μᾶλλον, σώφρονας, δίκαια:</w:t>
      </w:r>
      <w:r>
        <w:t xml:space="preserve"> να γράψετε τους αντίστοιχους τύπους των παραθετικών των επιθέτων/επιρρημάτων στους άλλους βαθμούς</w:t>
      </w:r>
    </w:p>
    <w:p w:rsidR="00DB0311" w:rsidRDefault="00DB0311" w:rsidP="00D14B7E">
      <w:pPr>
        <w:pStyle w:val="a3"/>
        <w:numPr>
          <w:ilvl w:val="0"/>
          <w:numId w:val="1"/>
        </w:numPr>
        <w:ind w:left="284" w:hanging="284"/>
      </w:pPr>
      <w:r>
        <w:t>Να γράψετε τους τύπους που σας ζητούνται: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206"/>
        <w:gridCol w:w="3325"/>
        <w:gridCol w:w="3479"/>
      </w:tblGrid>
      <w:tr w:rsidR="00DB0311" w:rsidTr="00DB0311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B0311" w:rsidRPr="00DB0311" w:rsidRDefault="00DB0311" w:rsidP="00DB0311">
            <w:pPr>
              <w:pStyle w:val="a3"/>
              <w:ind w:left="0"/>
              <w:rPr>
                <w:b/>
              </w:rPr>
            </w:pPr>
            <w:r w:rsidRPr="00DB0311">
              <w:rPr>
                <w:b/>
              </w:rPr>
              <w:t>ἅ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  <w:r>
              <w:t xml:space="preserve">τον αντίστοιχο τύπο του θηλυκού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</w:p>
        </w:tc>
      </w:tr>
      <w:tr w:rsidR="00DB0311" w:rsidTr="00DB0311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B0311" w:rsidRPr="00DB0311" w:rsidRDefault="00DB0311" w:rsidP="00DB0311">
            <w:pPr>
              <w:pStyle w:val="a3"/>
              <w:ind w:left="0"/>
              <w:rPr>
                <w:b/>
              </w:rPr>
            </w:pPr>
            <w:r w:rsidRPr="00DB0311">
              <w:rPr>
                <w:b/>
              </w:rPr>
              <w:t>σώφρονας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  <w:r>
              <w:t>κλητική ενικού στο ίδιο γένος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</w:p>
        </w:tc>
      </w:tr>
      <w:tr w:rsidR="00DB0311" w:rsidTr="00DB0311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B0311" w:rsidRPr="00DB0311" w:rsidRDefault="00DB0311" w:rsidP="00DB0311">
            <w:pPr>
              <w:pStyle w:val="a3"/>
              <w:ind w:left="0"/>
              <w:rPr>
                <w:b/>
              </w:rPr>
            </w:pPr>
            <w:r w:rsidRPr="00DB0311">
              <w:rPr>
                <w:b/>
              </w:rPr>
              <w:t>πᾶσαν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  <w:r>
              <w:t>γενική πληθυντικού ουδετέρου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</w:p>
        </w:tc>
      </w:tr>
      <w:tr w:rsidR="00DB0311" w:rsidTr="00DB0311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B0311" w:rsidRPr="00DB0311" w:rsidRDefault="00DB0311" w:rsidP="00DB0311">
            <w:pPr>
              <w:pStyle w:val="a3"/>
              <w:ind w:left="0"/>
              <w:rPr>
                <w:b/>
              </w:rPr>
            </w:pPr>
            <w:r w:rsidRPr="00DB0311">
              <w:rPr>
                <w:b/>
              </w:rPr>
              <w:t>οὐδέν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  <w:r>
              <w:t>δοτική ενικού στο ίδιο γένος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311" w:rsidRDefault="00DB0311" w:rsidP="00DB0311">
            <w:pPr>
              <w:pStyle w:val="a3"/>
              <w:ind w:left="0"/>
            </w:pPr>
          </w:p>
        </w:tc>
      </w:tr>
    </w:tbl>
    <w:p w:rsidR="00DB0311" w:rsidRDefault="00DB0311" w:rsidP="00DB0311">
      <w:pPr>
        <w:pStyle w:val="a3"/>
        <w:ind w:left="284"/>
      </w:pPr>
    </w:p>
    <w:p w:rsidR="00B63A3F" w:rsidRDefault="00B63A3F" w:rsidP="00212C09">
      <w:pPr>
        <w:pStyle w:val="a3"/>
        <w:numPr>
          <w:ilvl w:val="0"/>
          <w:numId w:val="1"/>
        </w:numPr>
        <w:ind w:left="284" w:hanging="284"/>
      </w:pPr>
      <w:r>
        <w:t>Να μετατραπούν οι παρακάτω πρόταση στον ευθύ λόγο</w:t>
      </w:r>
      <w:r w:rsidR="009E0C0B">
        <w:t>, κάνοντας τις απαραίτητες</w:t>
      </w:r>
      <w:bookmarkStart w:id="0" w:name="_GoBack"/>
      <w:bookmarkEnd w:id="0"/>
      <w:r w:rsidR="009E0C0B">
        <w:t xml:space="preserve"> αλλαγές</w:t>
      </w:r>
      <w:r>
        <w:t>:</w:t>
      </w:r>
    </w:p>
    <w:p w:rsidR="00B63A3F" w:rsidRDefault="00C83093" w:rsidP="00B63A3F">
      <w:pPr>
        <w:pStyle w:val="a3"/>
        <w:ind w:left="284"/>
        <w:rPr>
          <w:i/>
        </w:rPr>
      </w:pPr>
      <w:r w:rsidRPr="00B63A3F">
        <w:rPr>
          <w:i/>
        </w:rPr>
        <w:t>εἰ τοὺς ἐπισταμένους μὲν ἃ δεῖ πράττειν, ποιοῦντας δὲ τἀναντία σοφούς τε καὶ ἀκρατεῖς εἶναι νομίζοι</w:t>
      </w:r>
    </w:p>
    <w:p w:rsidR="00B63A3F" w:rsidRDefault="00B63A3F" w:rsidP="00B63A3F">
      <w:pPr>
        <w:pStyle w:val="a3"/>
        <w:ind w:left="284"/>
      </w:pPr>
      <w:r w:rsidRPr="00B63A3F">
        <w:t>τοὺς μὴ ὀρθῶς πράττοντας οὔτε σοφοὺς οὔτε σώφρονας εἶναι</w:t>
      </w:r>
    </w:p>
    <w:p w:rsidR="00B63A3F" w:rsidRDefault="00B63A3F" w:rsidP="00B63A3F">
      <w:pPr>
        <w:pStyle w:val="a3"/>
        <w:ind w:left="284"/>
      </w:pPr>
      <w:r w:rsidRPr="00B63A3F">
        <w:t>οὕτω [καὶ] τὰ καλά τε κἀγαθὰ τοὺς μὲν σοφοὺς πράττειν, τοὺς δὲ μὴ σοφοὺς οὐ δύνασθαι, ἀλλὰ καὶ ἐὰν ἐγχειρῶσιν, ἁμαρτάνειν</w:t>
      </w:r>
    </w:p>
    <w:p w:rsidR="00B63A3F" w:rsidRDefault="00B63A3F" w:rsidP="00B63A3F">
      <w:pPr>
        <w:pStyle w:val="a3"/>
        <w:ind w:left="284"/>
      </w:pPr>
    </w:p>
    <w:p w:rsidR="00B63A3F" w:rsidRDefault="00B63A3F" w:rsidP="00B63A3F">
      <w:pPr>
        <w:pStyle w:val="a3"/>
        <w:numPr>
          <w:ilvl w:val="0"/>
          <w:numId w:val="1"/>
        </w:numPr>
        <w:ind w:left="284" w:hanging="284"/>
      </w:pPr>
      <w:r w:rsidRPr="00B63A3F">
        <w:rPr>
          <w:b/>
        </w:rPr>
        <w:t>τοὺς ἐπισταμένους</w:t>
      </w:r>
      <w:r>
        <w:rPr>
          <w:b/>
        </w:rPr>
        <w:t>, τούς ποιοῦ</w:t>
      </w:r>
      <w:r w:rsidRPr="00B63A3F">
        <w:rPr>
          <w:b/>
        </w:rPr>
        <w:t>ντας</w:t>
      </w:r>
      <w:r>
        <w:t>: να μετατραπούν οι μετοχές σε αντίστοιχες προτάσεις</w:t>
      </w:r>
    </w:p>
    <w:p w:rsidR="00B63A3F" w:rsidRPr="00B63A3F" w:rsidRDefault="00B63A3F" w:rsidP="00B63A3F">
      <w:pPr>
        <w:pStyle w:val="a3"/>
        <w:numPr>
          <w:ilvl w:val="0"/>
          <w:numId w:val="1"/>
        </w:numPr>
        <w:ind w:left="284" w:hanging="284"/>
      </w:pPr>
      <w:r>
        <w:t xml:space="preserve"> </w:t>
      </w:r>
      <w:r w:rsidRPr="00B63A3F">
        <w:rPr>
          <w:b/>
        </w:rPr>
        <w:t>καὶ ἐὰν ἐγχειρῶσιν</w:t>
      </w:r>
      <w:r>
        <w:t>: να αναφέρετε για την παραπάνω πρόταση το είδος της, τον συντακτικό της ρόλο, και την εκφορά της</w:t>
      </w:r>
    </w:p>
    <w:sectPr w:rsidR="00B63A3F" w:rsidRPr="00B63A3F" w:rsidSect="00DB03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FC"/>
    <w:multiLevelType w:val="hybridMultilevel"/>
    <w:tmpl w:val="E53CF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50"/>
    <w:rsid w:val="00345EB4"/>
    <w:rsid w:val="009E0C0B"/>
    <w:rsid w:val="00A40350"/>
    <w:rsid w:val="00B55D16"/>
    <w:rsid w:val="00B63A3F"/>
    <w:rsid w:val="00C83093"/>
    <w:rsid w:val="00D14B7E"/>
    <w:rsid w:val="00D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378"/>
  <w15:chartTrackingRefBased/>
  <w15:docId w15:val="{7788B5E2-2051-4756-83CA-8B0688F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7E"/>
    <w:pPr>
      <w:ind w:left="720"/>
      <w:contextualSpacing/>
    </w:pPr>
  </w:style>
  <w:style w:type="table" w:styleId="a4">
    <w:name w:val="Table Grid"/>
    <w:basedOn w:val="a1"/>
    <w:uiPriority w:val="39"/>
    <w:rsid w:val="00DB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2021-03-02T17:58:00Z</dcterms:created>
  <dcterms:modified xsi:type="dcterms:W3CDTF">2021-03-02T19:04:00Z</dcterms:modified>
</cp:coreProperties>
</file>