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B7" w:rsidRPr="008A53B7" w:rsidRDefault="008A53B7" w:rsidP="008A53B7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Arial"/>
          <w:b/>
          <w:bCs/>
          <w:color w:val="29AAE1"/>
          <w:sz w:val="23"/>
          <w:szCs w:val="23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29AAE1"/>
          <w:sz w:val="23"/>
          <w:szCs w:val="23"/>
          <w:lang w:eastAsia="el-GR"/>
        </w:rPr>
        <w:t>ΣΧΕΔΙΑΓΡΑΜΜΑ ΣΤΗΝ ΕΙΣΑΓΩΓΗ ΤΟΥ ΘΟΥΚΥΔΙΔΗ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 xml:space="preserve">ΘΟΥΚΥΔΙΔΗΣ (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πιθ</w:t>
      </w:r>
      <w:proofErr w:type="spellEnd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 xml:space="preserve"> 455-399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πΧ</w:t>
      </w:r>
      <w:proofErr w:type="spellEnd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): Εισαγωγή, (σχ. βιβλίο18-28)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Η ΖΩΗ ΤΟΥ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Καταγωγή: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Δήμος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</w:t>
      </w:r>
      <w:proofErr w:type="spellStart"/>
      <w:r w:rsidRPr="008A53B7">
        <w:rPr>
          <w:rFonts w:ascii="Palatino Linotype" w:eastAsia="Times New Roman" w:hAnsi="Palatino Linotype" w:cs="Arial"/>
          <w:color w:val="333333"/>
          <w:sz w:val="20"/>
          <w:szCs w:val="20"/>
          <w:lang w:eastAsia="el-GR"/>
        </w:rPr>
        <w:t>Ἁ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λιμο</w:t>
      </w:r>
      <w:r w:rsidRPr="008A53B7">
        <w:rPr>
          <w:rFonts w:ascii="Palatino Linotype" w:eastAsia="Times New Roman" w:hAnsi="Palatino Linotype" w:cs="Arial"/>
          <w:color w:val="333333"/>
          <w:sz w:val="20"/>
          <w:szCs w:val="20"/>
          <w:lang w:eastAsia="el-GR"/>
        </w:rPr>
        <w:t>ῦ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ντος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Αττικής , από αριστοκρατική οικογένεια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Μόρφωση: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επίδραση από σοφιστές, έργα Περικλή, επιτεύγματα ιατρικής, αρχαίου δράματος.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 xml:space="preserve">Στρατηγική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Περικλή: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 άμυνα στην ξηρά β) επίθεση στη θάλασσα γ) σύνεση, αυτοπεποίθηση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Λοιμός: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Το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δεύτερο έτος του πολέμου πέθανε ο Περικλής, ο Θουκυδίδης όμως επέζησε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Δημαγωγοί: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Μετά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το θάνατο του Περικλή, επικράτησε οξεία αντιπαράθεση μεταξύ των συντηρητικών αριστοκρατικών και των δημοκρατικών- δημαγωγών ( πχ Κλέωνας)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 xml:space="preserve">Στρατηγική αποτυχία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Θουκυδίδη: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Το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424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πΧ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ο Θουκυδίδης, ως στρατηγός, έχασε την Αμφίπολη, αποικία των Αθηναίων, από τον Σπαρτιάτη Βρασίδα. Είχε στρατηγική σημασία η περιοχή λόγω ναυπηγήσιμης  ξυλείας και χρυσωρυχείων του Παγγαίου.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Εξορία: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Η τιμωρία για την αποτυχία του ήταν η εξορία. Εκεί αφιερώνει το χρόνο του στην ιστορική έρευνα καθώς συγκεντρώνει πληροφορίες και από τα δύο στρατόπεδα.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Το τέλος του πολέμου: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 Ενώ έζησε ως το τέλος του πολέμου η εξιστόρηση φτάνει ως το 411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πΧ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λόγω θανάτου του.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ΤΟ ΕΡΓΟ ΤΟΥ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 xml:space="preserve">Η σημασία του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πολέμου: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Οι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αντίπαλοι βρίσκονταν στο ύψιστο σημείο ακμής. Βέβαιη η εμπλοκή όλων των ελληνικών κρατών.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Η έρευνα του παρελθόντος: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Με «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ε</w:t>
      </w:r>
      <w:r w:rsidRPr="008A53B7">
        <w:rPr>
          <w:rFonts w:ascii="Palatino Linotype" w:eastAsia="Times New Roman" w:hAnsi="Palatino Linotype" w:cs="Arial"/>
          <w:color w:val="333333"/>
          <w:sz w:val="20"/>
          <w:szCs w:val="20"/>
          <w:lang w:eastAsia="el-GR"/>
        </w:rPr>
        <w:t>ἰ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κότα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» (=εύλογα) , «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σημε</w:t>
      </w:r>
      <w:r w:rsidRPr="008A53B7">
        <w:rPr>
          <w:rFonts w:ascii="Palatino Linotype" w:eastAsia="Times New Roman" w:hAnsi="Palatino Linotype" w:cs="Arial"/>
          <w:color w:val="333333"/>
          <w:sz w:val="20"/>
          <w:szCs w:val="20"/>
          <w:lang w:eastAsia="el-GR"/>
        </w:rPr>
        <w:t>ῖ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» η «μαρτύρια»( =αποδείξεις) και «τεκμήρια»(=συμπεράσματα)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 xml:space="preserve">Τα βαθύτερα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αίτια: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Η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οικονομική και στρατιωτική ανάπτυξη της αθηναϊκής δύναμης και η μετατροπή της αθηναϊκής συμμαχίας σε αθηναϊκή ηγεμονία.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 xml:space="preserve">Ποια προβλήματα θέτει ο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Θουκυδίδης: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u w:val="single"/>
          <w:lang w:eastAsia="el-GR"/>
        </w:rPr>
        <w:t>Το πρόβλημα της ηγεμονικής δύναμης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 της Αθήνας. Η συνετή πολιτική που υπέδειξε ο Περικλής δεν ακολουθήθηκε.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Απόδειξη:η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Σικελική εκστρατεία β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u w:val="single"/>
          <w:lang w:eastAsia="el-GR"/>
        </w:rPr>
        <w:t>) το πρόβλημα της δύναμης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 π.χ. εξόντωση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Πλαταιέων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από Σπαρτιάτες,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Μηλίων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από Αθηναίους, εμφύλιος πόλεμος Κέρκυρας. Όλα αποδεικνύουν την αγριότητα του ανθρώπου στον πόλεμο. γ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u w:val="single"/>
          <w:lang w:eastAsia="el-GR"/>
        </w:rPr>
        <w:t>) η μόνη αξία είναι η λογική,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οι θεοί δεν επεμβαίνουν στις ιστορικές εξελίξεις, η τύχη είναι απρόβλεπτος παράγοντας δ)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u w:val="single"/>
          <w:lang w:eastAsia="el-GR"/>
        </w:rPr>
        <w:t>ο παραλογισμός του πολέμου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( σφαγή άμαχου πληθυσμού κτλ)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u w:val="single"/>
          <w:lang w:eastAsia="el-GR"/>
        </w:rPr>
        <w:t>Αιτία: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η πλεονεξία και η φιλοτιμία (=φιλοδοξία).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 xml:space="preserve">Πρότυπο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ηγέτη: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Το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ενσαρκώνει ο Περικλής. α) οξυδέρκεια β) αποδοχή από το λαό γ) ανωτερότητα δ) πολιτικό θάρρος ε) αδιάφθορος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 xml:space="preserve">Υπεύθυνος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πολίτης: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 να έχει λογική και σύνεση β) να μην παρασύρεται από δημαγωγούς γ) να δείχνει ενδιαφέρον για την πόλη δ) να δείχνει στον πόλεμο μετριοπάθεια, ανώτερο ήθος, ανθρωπιά.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Μέθοδος γραφής: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Χαρακτηριστικό της σκέψης και της μεθόδου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του:η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τάση για γενίκευση, ως απόσταγμα της έρευνας και του συλλογισμού του. Τα γνωμικά του δεν έχουν διδακτισμό και 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lastRenderedPageBreak/>
        <w:t>δεοντολογία αλλά είναι το απόσταγμα της έρευνας και του συλλογισμού μιας συγγραφικής ιδιοφυίας.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ΜΕΘΟΔΟΣ ΤΟΥ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Έρευνα μακρινού παρελθόντος: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αυτοψία, επίσκεψη  στα πεδία μαχών, συλλογή και αξιολόγηση πληροφοριών, μελέτη επίσημων κειμένων και κρατικών αρχείων.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Έλεγχος πληροφοριών της σύγχρονης εποχής: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α) προσωπική γνώση β) έρευνα για όσα δεν γνώριζε ο ίδιος ακούγοντάς τα από άλλους γ) δεν καταδέχτηκε να περιλάβει πληροφορίες από τον πρώτο τυχόντα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Δημηγορίες: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Αποδίδουν κίνητρα, σχεδιασμούς, στόχους, ιδέες, ήθος ομιλητών. Είναι τοποθετημένες με το σχήμα «θέση-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αντίθεσ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η». Κράτησε την κεντρική ιδέα των λόγων και πρόσθεσε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ό,τι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ήταν κατάλληλο για την περίσταση να ειπωθεί. Δείχνουν την ικανότητα του ιστορικού να αναλύει τα γεγονότα και το βάθος της σκέψης του.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Χρονολογική ακρίβεια: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Ακολουθεί το χρονολογικό σύστημα του Ελλάνικου Μυτιληναίου. Χρονολογεί κατά χρονολογική σειρά και όχι κατά θεματικές ενότητες διαιρώντας το έτος σε θέρος 8 μηνών και χειμώνα 4 μηνών.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ΔΟΜΗ ΕΡΓΟΥ/ΧΡΟΝΟΣ ΣΥΝΘΕΣΗΣ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Δομή και περιεχόμενο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: Διαίρεση σε 8 βιβλία μεταγενέστερη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1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vertAlign w:val="superscript"/>
          <w:lang w:eastAsia="el-GR"/>
        </w:rPr>
        <w:t>ο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 βιβλίο: αίτια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κ’σημασία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πολέμου, μέθοδος συγγραφέα, «αρχαιολογία», ανάπτυξη αθηναϊκής δύναμης 479-432, τελευταίες διπλωματικές προσπάθειες, δυνάμεις αντιπάλων.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2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vertAlign w:val="superscript"/>
          <w:lang w:eastAsia="el-GR"/>
        </w:rPr>
        <w:t>ο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 -5.24:πρώτη δεκαετία του πολέμου (431-421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π.Χ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), έκθεση όρων ειρήνης Νικία.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5.25- τέλος 5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vertAlign w:val="superscript"/>
          <w:lang w:eastAsia="el-GR"/>
        </w:rPr>
        <w:t>ου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: δεύτερο προοίμιο (όχι νέος πόλεμος, αλλά συνέχιση του μεγάλου πολέμου), τα γεγονότα ως το 415, διάλογος Αθηναίων με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Μηλίους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για δίκαιο ισχυρότερου.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6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vertAlign w:val="superscript"/>
          <w:lang w:eastAsia="el-GR"/>
        </w:rPr>
        <w:t>ο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-7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vertAlign w:val="superscript"/>
          <w:lang w:eastAsia="el-GR"/>
        </w:rPr>
        <w:t>ο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: Σικελική εκστρατεία.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8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vertAlign w:val="superscript"/>
          <w:lang w:eastAsia="el-GR"/>
        </w:rPr>
        <w:t>ο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: αρχή τρίτης περιόδου πολέμου, εγκατάσταση μόνιμου σπαρτιατικού στρατοπέδου στη Δεκέλεια, ανάμειξη Περσών, κατάλυση δημοκρατικού πολιτεύματος Αθήνας ως το 411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π.Χ.</w:t>
      </w:r>
      <w:proofErr w:type="spellEnd"/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Χρόνος συγγραφής: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όχι βέβαιος, σίγουρα ο Θουκυδίδης α) ξεκίνησε να γράφει με το ξέσπασμα του πολέμου(= συλλογή υλικού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κ’σημειώσεις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ή οριστική μορφή;)  β) είδε το τέλος του πολέμου  και κάποια κομμάτια έχουν γραφεί μετά το 404 π.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Χ.Συνέχισε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ο Ξενοφώντας με τα </w:t>
      </w:r>
      <w:proofErr w:type="spellStart"/>
      <w:r w:rsidRPr="008A53B7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lang w:eastAsia="el-GR"/>
        </w:rPr>
        <w:t>Ἑ</w:t>
      </w:r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lang w:eastAsia="el-GR"/>
        </w:rPr>
        <w:t>λληνικά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.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 xml:space="preserve">ΓΛΩΣΣΑ 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κ’ΥΦΟΣ</w:t>
      </w:r>
      <w:proofErr w:type="spellEnd"/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Γλώσσα: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«αρχαία αττική διάλεκτος»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Courier New"/>
          <w:color w:val="333333"/>
          <w:sz w:val="20"/>
          <w:szCs w:val="20"/>
          <w:lang w:eastAsia="el-GR"/>
        </w:rPr>
        <w:t>o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χρήση πρόθεσης </w:t>
      </w:r>
      <w:proofErr w:type="spellStart"/>
      <w:r w:rsidRPr="008A53B7">
        <w:rPr>
          <w:rFonts w:ascii="Palatino Linotype" w:eastAsia="Times New Roman" w:hAnsi="Palatino Linotype" w:cs="Arial"/>
          <w:b/>
          <w:bCs/>
          <w:color w:val="333333"/>
          <w:sz w:val="20"/>
          <w:szCs w:val="20"/>
          <w:lang w:eastAsia="el-GR"/>
        </w:rPr>
        <w:t>ἐ</w:t>
      </w: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ς</w:t>
      </w:r>
      <w:proofErr w:type="spellEnd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αντί 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ε</w:t>
      </w:r>
      <w:r w:rsidRPr="008A53B7">
        <w:rPr>
          <w:rFonts w:ascii="Palatino Linotype" w:eastAsia="Times New Roman" w:hAnsi="Palatino Linotype" w:cs="Arial"/>
          <w:b/>
          <w:bCs/>
          <w:color w:val="333333"/>
          <w:sz w:val="20"/>
          <w:szCs w:val="20"/>
          <w:lang w:eastAsia="el-GR"/>
        </w:rPr>
        <w:t>ἰ</w:t>
      </w: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ς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(</w:t>
      </w:r>
      <w:proofErr w:type="spellStart"/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ἐ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σπλέοντι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Courier New"/>
          <w:color w:val="333333"/>
          <w:sz w:val="20"/>
          <w:szCs w:val="20"/>
          <w:lang w:eastAsia="el-GR"/>
        </w:rPr>
        <w:t>o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ξυν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αντί </w:t>
      </w: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συν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(π.χ. </w:t>
      </w:r>
      <w:proofErr w:type="spellStart"/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ξυνέγραψε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Courier New"/>
          <w:color w:val="333333"/>
          <w:sz w:val="20"/>
          <w:szCs w:val="20"/>
          <w:lang w:eastAsia="el-GR"/>
        </w:rPr>
        <w:t>o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</w:t>
      </w: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--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σσ</w:t>
      </w:r>
      <w:proofErr w:type="spellEnd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-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αντί </w:t>
      </w: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–</w:t>
      </w: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ττ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(π.χ. </w:t>
      </w:r>
      <w:proofErr w:type="spellStart"/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ἡ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σσ</w:t>
      </w:r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ῶ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ντο</w:t>
      </w:r>
      <w:proofErr w:type="spellEnd"/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αντί </w:t>
      </w:r>
      <w:proofErr w:type="spellStart"/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ἡ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ττ</w:t>
      </w:r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ῶ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ντο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αρχαϊκότεροι τύποι  λέξεων(π.χ. </w:t>
      </w:r>
      <w:proofErr w:type="spellStart"/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lang w:eastAsia="el-GR"/>
        </w:rPr>
        <w:t>α</w:t>
      </w:r>
      <w:r w:rsidRPr="008A53B7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lang w:eastAsia="el-GR"/>
        </w:rPr>
        <w:t>ἰ</w:t>
      </w:r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lang w:eastAsia="el-GR"/>
        </w:rPr>
        <w:t>εί</w:t>
      </w:r>
      <w:proofErr w:type="spellEnd"/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 /</w:t>
      </w:r>
      <w:proofErr w:type="spellStart"/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ἀ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εί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ουδέτερο πληθυντικού αντί για επίρρημα (π.χ. </w:t>
      </w:r>
      <w:proofErr w:type="spellStart"/>
      <w:r w:rsidRPr="008A53B7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lang w:eastAsia="el-GR"/>
        </w:rPr>
        <w:t>ἐ</w:t>
      </w:r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lang w:eastAsia="el-GR"/>
        </w:rPr>
        <w:t>νάντια</w:t>
      </w:r>
      <w:proofErr w:type="spellEnd"/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/</w:t>
      </w:r>
      <w:proofErr w:type="spellStart"/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ἐ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ναντίον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χρήση ουδετέρου επιθέτου αντί αφηρημένου ουσιαστικού (π.χ.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τ</w:t>
      </w:r>
      <w:r w:rsidRPr="008A53B7">
        <w:rPr>
          <w:rFonts w:ascii="Palatino Linotype" w:eastAsia="Times New Roman" w:hAnsi="Palatino Linotype" w:cs="Arial"/>
          <w:color w:val="333333"/>
          <w:sz w:val="20"/>
          <w:szCs w:val="20"/>
          <w:lang w:eastAsia="el-GR"/>
        </w:rPr>
        <w:t>ὸ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 </w:t>
      </w:r>
      <w:proofErr w:type="spellStart"/>
      <w:r w:rsidRPr="008A53B7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lang w:eastAsia="el-GR"/>
        </w:rPr>
        <w:t>ἐ</w:t>
      </w:r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lang w:eastAsia="el-GR"/>
        </w:rPr>
        <w:t>λεύθερον</w:t>
      </w:r>
      <w:proofErr w:type="spellEnd"/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lang w:eastAsia="el-GR"/>
        </w:rPr>
        <w:t> 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/</w:t>
      </w:r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ἡ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 xml:space="preserve"> </w:t>
      </w:r>
      <w:proofErr w:type="spellStart"/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ἐ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λευθερία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ρήματα σύνθετα (και με δύο ή τρεις προθέσεις) για αν δηλωθούν βραχυλογικά και πυκνά 2 ή 3 επιρρηματικές σχέσεις του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υποκ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. ή του Αντικ. με τη ρηματική ενέργεια (π.χ. </w:t>
      </w:r>
      <w:proofErr w:type="spellStart"/>
      <w:r w:rsidRPr="008A53B7">
        <w:rPr>
          <w:rFonts w:ascii="Palatino Linotype" w:eastAsia="Times New Roman" w:hAnsi="Palatino Linotype" w:cs="Arial"/>
          <w:i/>
          <w:iCs/>
          <w:color w:val="333333"/>
          <w:sz w:val="20"/>
          <w:szCs w:val="20"/>
          <w:lang w:eastAsia="el-GR"/>
        </w:rPr>
        <w:t>ἀ</w:t>
      </w:r>
      <w:r w:rsidRPr="008A53B7">
        <w:rPr>
          <w:rFonts w:ascii="Comic Sans MS" w:eastAsia="Times New Roman" w:hAnsi="Comic Sans MS" w:cs="Arial"/>
          <w:i/>
          <w:iCs/>
          <w:color w:val="333333"/>
          <w:sz w:val="20"/>
          <w:szCs w:val="20"/>
          <w:lang w:eastAsia="el-GR"/>
        </w:rPr>
        <w:t>νταναγόμενοι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)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proofErr w:type="spellStart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Υφος</w:t>
      </w:r>
      <w:proofErr w:type="spellEnd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el-GR"/>
        </w:rPr>
        <w:t>: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επισώρευση αιτιολογικών προτάσεων και προσδιορισμών (=να διαφωτιστούν πλήρως τα αίτια των γεγονότων)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lastRenderedPageBreak/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συνεχής χρήση αντιθέσεων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αφθονία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ετερόπτωτων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 προσδιορισμών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περίπλοκη σύνταξη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μακρές περίοδοι στο λόγο</w:t>
      </w:r>
    </w:p>
    <w:p w:rsidR="008A53B7" w:rsidRPr="008A53B7" w:rsidRDefault="008A53B7" w:rsidP="008A53B7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·</w:t>
      </w:r>
      <w:r w:rsidRPr="008A53B7">
        <w:rPr>
          <w:rFonts w:ascii="Comic Sans MS" w:eastAsia="Times New Roman" w:hAnsi="Comic Sans MS" w:cs="Times New Roman"/>
          <w:color w:val="333333"/>
          <w:sz w:val="14"/>
          <w:szCs w:val="14"/>
          <w:lang w:eastAsia="el-GR"/>
        </w:rPr>
        <w:t>         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 xml:space="preserve">εντυπωσιακά ρητορικά σχήματα (π.χ. </w:t>
      </w:r>
      <w:proofErr w:type="spellStart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πάρισα</w:t>
      </w:r>
      <w:proofErr w:type="spellEnd"/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, ομοιοτέλευτα, ισοσύλλαβα)</w:t>
      </w: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</w:p>
    <w:p w:rsidR="008A53B7" w:rsidRPr="008A53B7" w:rsidRDefault="008A53B7" w:rsidP="008A53B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proofErr w:type="spellStart"/>
      <w:r w:rsidRPr="008A53B7">
        <w:rPr>
          <w:rFonts w:ascii="Comic Sans MS" w:eastAsia="Times New Roman" w:hAnsi="Comic Sans MS" w:cs="Arial"/>
          <w:b/>
          <w:bCs/>
          <w:smallCaps/>
          <w:color w:val="333333"/>
          <w:sz w:val="20"/>
          <w:szCs w:val="20"/>
          <w:lang w:eastAsia="el-GR"/>
        </w:rPr>
        <w:t>Αμεροληψια</w:t>
      </w:r>
      <w:proofErr w:type="spellEnd"/>
      <w:r w:rsidRPr="008A53B7">
        <w:rPr>
          <w:rFonts w:ascii="Comic Sans MS" w:eastAsia="Times New Roman" w:hAnsi="Comic Sans MS" w:cs="Arial"/>
          <w:b/>
          <w:bCs/>
          <w:smallCaps/>
          <w:color w:val="333333"/>
          <w:sz w:val="20"/>
          <w:szCs w:val="20"/>
          <w:lang w:eastAsia="el-GR"/>
        </w:rPr>
        <w:t xml:space="preserve">, </w:t>
      </w:r>
      <w:proofErr w:type="spellStart"/>
      <w:r w:rsidRPr="008A53B7">
        <w:rPr>
          <w:rFonts w:ascii="Comic Sans MS" w:eastAsia="Times New Roman" w:hAnsi="Comic Sans MS" w:cs="Arial"/>
          <w:b/>
          <w:bCs/>
          <w:smallCaps/>
          <w:color w:val="333333"/>
          <w:sz w:val="20"/>
          <w:szCs w:val="20"/>
          <w:lang w:eastAsia="el-GR"/>
        </w:rPr>
        <w:t>Δυναμη</w:t>
      </w:r>
      <w:proofErr w:type="spellEnd"/>
      <w:r w:rsidRPr="008A53B7">
        <w:rPr>
          <w:rFonts w:ascii="Comic Sans MS" w:eastAsia="Times New Roman" w:hAnsi="Comic Sans MS" w:cs="Arial"/>
          <w:b/>
          <w:bCs/>
          <w:smallCaps/>
          <w:color w:val="333333"/>
          <w:sz w:val="20"/>
          <w:szCs w:val="20"/>
          <w:lang w:eastAsia="el-GR"/>
        </w:rPr>
        <w:t xml:space="preserve"> </w:t>
      </w:r>
      <w:proofErr w:type="spellStart"/>
      <w:r w:rsidRPr="008A53B7">
        <w:rPr>
          <w:rFonts w:ascii="Comic Sans MS" w:eastAsia="Times New Roman" w:hAnsi="Comic Sans MS" w:cs="Arial"/>
          <w:b/>
          <w:bCs/>
          <w:smallCaps/>
          <w:color w:val="333333"/>
          <w:sz w:val="20"/>
          <w:szCs w:val="20"/>
          <w:lang w:eastAsia="el-GR"/>
        </w:rPr>
        <w:t>γραφης</w:t>
      </w:r>
      <w:proofErr w:type="spellEnd"/>
      <w:r w:rsidRPr="008A53B7">
        <w:rPr>
          <w:rFonts w:ascii="Comic Sans MS" w:eastAsia="Times New Roman" w:hAnsi="Comic Sans MS" w:cs="Arial"/>
          <w:b/>
          <w:bCs/>
          <w:smallCaps/>
          <w:color w:val="333333"/>
          <w:sz w:val="20"/>
          <w:szCs w:val="20"/>
          <w:lang w:eastAsia="el-GR"/>
        </w:rPr>
        <w:t xml:space="preserve">, Βάθος </w:t>
      </w:r>
      <w:proofErr w:type="spellStart"/>
      <w:r w:rsidRPr="008A53B7">
        <w:rPr>
          <w:rFonts w:ascii="Comic Sans MS" w:eastAsia="Times New Roman" w:hAnsi="Comic Sans MS" w:cs="Arial"/>
          <w:b/>
          <w:bCs/>
          <w:smallCaps/>
          <w:color w:val="333333"/>
          <w:sz w:val="20"/>
          <w:szCs w:val="20"/>
          <w:lang w:eastAsia="el-GR"/>
        </w:rPr>
        <w:t>προβληματισμου</w:t>
      </w:r>
      <w:r w:rsidRPr="008A53B7">
        <w:rPr>
          <w:rFonts w:ascii="Comic Sans MS" w:eastAsia="Times New Roman" w:hAnsi="Comic Sans MS" w:cs="Arial"/>
          <w:color w:val="333333"/>
          <w:sz w:val="20"/>
          <w:szCs w:val="20"/>
          <w:lang w:eastAsia="el-GR"/>
        </w:rPr>
        <w:t>=</w:t>
      </w: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η</w:t>
      </w:r>
      <w:proofErr w:type="spellEnd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 </w:t>
      </w:r>
      <w:proofErr w:type="spellStart"/>
      <w:r w:rsidRPr="008A53B7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lang w:eastAsia="el-GR"/>
        </w:rPr>
        <w:t>Ἱ</w:t>
      </w:r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lang w:eastAsia="el-GR"/>
        </w:rPr>
        <w:t>στορία</w:t>
      </w:r>
      <w:proofErr w:type="spellEnd"/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lang w:eastAsia="el-GR"/>
        </w:rPr>
        <w:t> </w:t>
      </w:r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Θουκυδίδη </w:t>
      </w:r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«</w:t>
      </w:r>
      <w:proofErr w:type="spellStart"/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κτ</w:t>
      </w:r>
      <w:r w:rsidRPr="008A53B7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ῆ</w:t>
      </w:r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μα</w:t>
      </w:r>
      <w:proofErr w:type="spellEnd"/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 xml:space="preserve"> </w:t>
      </w:r>
      <w:proofErr w:type="spellStart"/>
      <w:r w:rsidRPr="008A53B7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ἐ</w:t>
      </w:r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ς</w:t>
      </w:r>
      <w:proofErr w:type="spellEnd"/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 xml:space="preserve"> </w:t>
      </w:r>
      <w:proofErr w:type="spellStart"/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α</w:t>
      </w:r>
      <w:r w:rsidRPr="008A53B7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ἰ</w:t>
      </w:r>
      <w:r w:rsidRPr="008A53B7"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ε</w:t>
      </w:r>
      <w:r w:rsidRPr="008A53B7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ὶ</w:t>
      </w:r>
      <w:proofErr w:type="spellEnd"/>
      <w:r w:rsidRPr="008A53B7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l-GR"/>
        </w:rPr>
        <w:t>»</w:t>
      </w:r>
    </w:p>
    <w:p w:rsidR="00574A50" w:rsidRPr="008A53B7" w:rsidRDefault="00574A50">
      <w:pPr>
        <w:rPr>
          <w:rFonts w:ascii="Comic Sans MS" w:hAnsi="Comic Sans MS"/>
        </w:rPr>
      </w:pPr>
    </w:p>
    <w:sectPr w:rsidR="00574A50" w:rsidRPr="008A53B7" w:rsidSect="00574A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53B7"/>
    <w:rsid w:val="00574A50"/>
    <w:rsid w:val="008A53B7"/>
    <w:rsid w:val="00E9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50"/>
  </w:style>
  <w:style w:type="paragraph" w:styleId="3">
    <w:name w:val="heading 3"/>
    <w:basedOn w:val="a"/>
    <w:link w:val="3Char"/>
    <w:uiPriority w:val="9"/>
    <w:qFormat/>
    <w:rsid w:val="008A5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A53B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03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326713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539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29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866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2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5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48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79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01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96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6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04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2024-09-16T08:37:00Z</dcterms:created>
  <dcterms:modified xsi:type="dcterms:W3CDTF">2024-09-16T08:39:00Z</dcterms:modified>
</cp:coreProperties>
</file>