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47" w:rsidRPr="000A2B47" w:rsidRDefault="000A2B47" w:rsidP="000A2B47">
      <w:pPr>
        <w:shd w:val="clear" w:color="auto" w:fill="BDD5E2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 ΣΥΝΤΑΚΤΙΚΗ ΛΕΙΤΟΥΡΓΙΑ ΤΟΥ ΓΕΡΟΥΝΔΙΟΥ (</w:t>
      </w:r>
      <w:proofErr w:type="spellStart"/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Gerundium</w:t>
      </w:r>
      <w:proofErr w:type="spellEnd"/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)</w:t>
      </w:r>
    </w:p>
    <w:p w:rsidR="000A2B47" w:rsidRPr="000A2B47" w:rsidRDefault="000A2B47" w:rsidP="000A2B47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</w:p>
    <w:p w:rsidR="000A2B47" w:rsidRPr="000A2B47" w:rsidRDefault="000A2B47" w:rsidP="000A2B47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γερούνδιο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είναι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ρηματικό ουσιαστικό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ουδετέρου γένους με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ενεργητική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σημασία (</w:t>
      </w:r>
      <w:r w:rsidRPr="000A2B47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γερούνδιο έχουν τα ενεργητικά, τα αποθετικά και τα </w:t>
      </w:r>
      <w:proofErr w:type="spellStart"/>
      <w:r w:rsidRPr="000A2B47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ημιαποθετικά</w:t>
      </w:r>
      <w:proofErr w:type="spellEnd"/>
      <w:r w:rsidRPr="000A2B47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 ρήματα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Διαθέτει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γενική, δοτική, αιτιατική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αφαιρετική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 Ισοδυναμεί με τις πλάγιες πτώσεις του έναρθρου απαρεμφάτου της ελληνικής.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Σχηματίζεται από το θέμα του ενεστώτα και τις καταλήξεις –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ndi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–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ndo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-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ndum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 -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ndo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(καταλήξεις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δευτεροκλίτων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ουσιαστικών).</w:t>
      </w:r>
    </w:p>
    <w:p w:rsidR="000A2B47" w:rsidRPr="000A2B47" w:rsidRDefault="000A2B47" w:rsidP="000A2B47">
      <w:pPr>
        <w:shd w:val="clear" w:color="auto" w:fill="FFFFFF"/>
        <w:spacing w:after="0" w:line="336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Τα γερούνδια των 4 συζυγιών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38"/>
        <w:gridCol w:w="2663"/>
        <w:gridCol w:w="2642"/>
        <w:gridCol w:w="2865"/>
      </w:tblGrid>
      <w:tr w:rsidR="000A2B47" w:rsidRPr="000A2B47" w:rsidTr="000A2B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amo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deleo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lego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audio</w:t>
            </w:r>
            <w:proofErr w:type="spellEnd"/>
          </w:p>
        </w:tc>
      </w:tr>
      <w:tr w:rsidR="000A2B47" w:rsidRPr="000A2B47" w:rsidTr="000A2B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Γενική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Δοτική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Αιτιατική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Αφαιρετική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ama-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ndi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ndo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ndum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ama-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dele-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ndi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dele-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ndo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dele-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ndum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dele-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lege-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ndi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ndo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ndum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lege-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A2B47" w:rsidRPr="000A2B47" w:rsidRDefault="000A2B47" w:rsidP="000A2B4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ndi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audie-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ndo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audie-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ndum</w:t>
            </w:r>
            <w:r w:rsidRPr="000A2B4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br/>
              <w:t>audie-</w:t>
            </w:r>
            <w:r w:rsidRPr="000A2B4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ndo</w:t>
            </w:r>
          </w:p>
        </w:tc>
      </w:tr>
    </w:tbl>
    <w:p w:rsidR="000A2B47" w:rsidRPr="000A2B47" w:rsidRDefault="000A2B47" w:rsidP="000A2B47">
      <w:pPr>
        <w:shd w:val="clear" w:color="auto" w:fill="FFFFFF"/>
        <w:spacing w:after="0" w:line="336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Η χρήση των πτώσεων του γερουνδίου</w:t>
      </w:r>
    </w:p>
    <w:p w:rsidR="000A2B47" w:rsidRPr="000A2B47" w:rsidRDefault="000A2B47" w:rsidP="000A2B47">
      <w:pPr>
        <w:numPr>
          <w:ilvl w:val="0"/>
          <w:numId w:val="1"/>
        </w:num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Η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γενική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γερουνδίου χρησιμοποιείται ως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συμπλήρωμα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ουσιαστικών και επιθέτων (γενική αντικειμενική) καθώς και των προθέσεων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causa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gratia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(=για να). Ο εμπρόθετος δηλώνει αιτία ή σκοπό.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0A2B47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31D09E02" wp14:editId="2B4A9209">
            <wp:extent cx="6240145" cy="1082675"/>
            <wp:effectExtent l="0" t="0" r="8255" b="3175"/>
            <wp:docPr id="1" name="Εικόνα 1" descr="Eik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ikon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0A2B47" w:rsidRPr="000A2B47" w:rsidRDefault="000A2B47" w:rsidP="000A2B47">
      <w:pPr>
        <w:numPr>
          <w:ilvl w:val="0"/>
          <w:numId w:val="1"/>
        </w:num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Η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δοτική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γερουνδίου εκφράζει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σκοπό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 χρησιμοποιείται κυρίως με επίθετα που σημαίνουν «κατάλληλος», «χρήσιμος» (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aptus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idoneus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utilis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0A2B47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046729BE" wp14:editId="04B9213D">
            <wp:extent cx="5149215" cy="481330"/>
            <wp:effectExtent l="0" t="0" r="0" b="0"/>
            <wp:docPr id="2" name="Εικόνα 2" descr="Eiko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ikon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47" w:rsidRPr="000A2B47" w:rsidRDefault="000A2B47" w:rsidP="000A2B47">
      <w:pPr>
        <w:numPr>
          <w:ilvl w:val="0"/>
          <w:numId w:val="1"/>
        </w:numPr>
        <w:shd w:val="clear" w:color="auto" w:fill="FFFFFF"/>
        <w:spacing w:after="24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Η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αιτιατική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γερουνδίου είναι πάντοτε εμπρόθετη (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ad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 και εκφράζει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σκοπό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ή προορισμό ή αναφορά. π.χ.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Quam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multas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imagines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[…] ―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non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solum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ad</w:t>
      </w:r>
      <w:proofErr w:type="spellEnd"/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intuendum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―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scriptores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[…]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nobis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reliquerunt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= Πόσο πολλές εικόνες μας κληροδότησαν οι συγγραφείς ―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όχι μόνο για να τις ατενίζουμε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[32]</w:t>
      </w:r>
    </w:p>
    <w:p w:rsidR="000A2B47" w:rsidRPr="000A2B47" w:rsidRDefault="000A2B47" w:rsidP="000A2B47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lastRenderedPageBreak/>
        <w:t>Η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αφαιρετική</w:t>
      </w: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του γερουνδίου χρησιμοποιείται</w:t>
      </w:r>
    </w:p>
    <w:p w:rsidR="000A2B47" w:rsidRPr="000A2B47" w:rsidRDefault="000A2B47" w:rsidP="000A2B47">
      <w:pPr>
        <w:numPr>
          <w:ilvl w:val="1"/>
          <w:numId w:val="1"/>
        </w:numPr>
        <w:shd w:val="clear" w:color="auto" w:fill="FFFFFF"/>
        <w:spacing w:after="0" w:line="308" w:lineRule="atLeast"/>
        <w:ind w:left="90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απρόθετη</w:t>
      </w:r>
      <w:r w:rsidRPr="000A2B47">
        <w:rPr>
          <w:rFonts w:ascii="Trebuchet MS" w:eastAsia="Times New Roman" w:hAnsi="Trebuchet MS" w:cs="Times New Roman"/>
          <w:color w:val="000000"/>
          <w:lang w:eastAsia="el-GR"/>
        </w:rPr>
        <w:t> για να δηλωθεί ο </w:t>
      </w:r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τρόπος</w:t>
      </w:r>
      <w:r w:rsidRPr="000A2B47">
        <w:rPr>
          <w:rFonts w:ascii="Trebuchet MS" w:eastAsia="Times New Roman" w:hAnsi="Trebuchet MS" w:cs="Times New Roman"/>
          <w:color w:val="000000"/>
          <w:lang w:eastAsia="el-GR"/>
        </w:rPr>
        <w:t>. π.χ. […] </w:t>
      </w:r>
      <w:proofErr w:type="spellStart"/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cogitando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> 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homines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excellentes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[…]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mentem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meam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conformabam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= </w:t>
      </w:r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με το να αναλογίζομαι</w:t>
      </w:r>
      <w:r w:rsidRPr="000A2B47">
        <w:rPr>
          <w:rFonts w:ascii="Trebuchet MS" w:eastAsia="Times New Roman" w:hAnsi="Trebuchet MS" w:cs="Times New Roman"/>
          <w:color w:val="000000"/>
          <w:lang w:eastAsia="el-GR"/>
        </w:rPr>
        <w:t> τους εξαίρετους άνδρες διέπλαθα τον νου μου. [32]</w:t>
      </w:r>
    </w:p>
    <w:p w:rsidR="000A2B47" w:rsidRPr="000A2B47" w:rsidRDefault="000A2B47" w:rsidP="000A2B47">
      <w:pPr>
        <w:numPr>
          <w:ilvl w:val="1"/>
          <w:numId w:val="1"/>
        </w:numPr>
        <w:shd w:val="clear" w:color="auto" w:fill="FFFFFF"/>
        <w:spacing w:after="0" w:line="308" w:lineRule="atLeast"/>
        <w:ind w:left="900" w:right="225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εμπρόθετη</w:t>
      </w:r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 (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de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ex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,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in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και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ab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>) για να δηλωθεί </w:t>
      </w:r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αναφορά</w:t>
      </w:r>
      <w:r w:rsidRPr="000A2B47">
        <w:rPr>
          <w:rFonts w:ascii="Trebuchet MS" w:eastAsia="Times New Roman" w:hAnsi="Trebuchet MS" w:cs="Times New Roman"/>
          <w:color w:val="000000"/>
          <w:lang w:eastAsia="el-GR"/>
        </w:rPr>
        <w:t> ή </w:t>
      </w:r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αφετηρία</w:t>
      </w:r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. π.χ.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Aesopus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consilium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Licini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> </w:t>
      </w:r>
      <w:proofErr w:type="spellStart"/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de</w:t>
      </w:r>
      <w:proofErr w:type="spellEnd"/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 xml:space="preserve"> </w:t>
      </w:r>
      <w:proofErr w:type="spellStart"/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fugiendo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> 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cognovit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= Ο Αίσωπος έμαθε το σχέδιο του </w:t>
      </w:r>
      <w:proofErr w:type="spellStart"/>
      <w:r w:rsidRPr="000A2B47">
        <w:rPr>
          <w:rFonts w:ascii="Trebuchet MS" w:eastAsia="Times New Roman" w:hAnsi="Trebuchet MS" w:cs="Times New Roman"/>
          <w:color w:val="000000"/>
          <w:lang w:eastAsia="el-GR"/>
        </w:rPr>
        <w:t>Λίκινου</w:t>
      </w:r>
      <w:proofErr w:type="spellEnd"/>
      <w:r w:rsidRPr="000A2B47">
        <w:rPr>
          <w:rFonts w:ascii="Trebuchet MS" w:eastAsia="Times New Roman" w:hAnsi="Trebuchet MS" w:cs="Times New Roman"/>
          <w:color w:val="000000"/>
          <w:lang w:eastAsia="el-GR"/>
        </w:rPr>
        <w:t xml:space="preserve"> για </w:t>
      </w:r>
      <w:r w:rsidRPr="000A2B47">
        <w:rPr>
          <w:rFonts w:ascii="Trebuchet MS" w:eastAsia="Times New Roman" w:hAnsi="Trebuchet MS" w:cs="Times New Roman"/>
          <w:b/>
          <w:bCs/>
          <w:color w:val="000000"/>
          <w:lang w:eastAsia="el-GR"/>
        </w:rPr>
        <w:t>δραπέτευση</w:t>
      </w:r>
    </w:p>
    <w:p w:rsidR="000A2B47" w:rsidRPr="000A2B47" w:rsidRDefault="000A2B47" w:rsidP="000A2B47">
      <w:pPr>
        <w:shd w:val="clear" w:color="auto" w:fill="FFFFFF"/>
        <w:spacing w:after="0" w:line="336" w:lineRule="atLeast"/>
        <w:ind w:left="450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0A2B47" w:rsidRPr="000A2B47" w:rsidRDefault="000A2B47" w:rsidP="000A2B47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Σχηματικά:</w:t>
      </w:r>
    </w:p>
    <w:p w:rsidR="000A2B47" w:rsidRPr="000A2B47" w:rsidRDefault="000A2B47" w:rsidP="000A2B47">
      <w:pPr>
        <w:shd w:val="clear" w:color="auto" w:fill="FFFFFF"/>
        <w:spacing w:after="0" w:line="336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0A2B47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1EEA2757" wp14:editId="17F405E8">
            <wp:extent cx="5735320" cy="3344545"/>
            <wp:effectExtent l="0" t="0" r="0" b="8255"/>
            <wp:docPr id="3" name="Εικόνα 3" descr="Eikon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ikon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47" w:rsidRPr="000A2B47" w:rsidRDefault="000A2B47" w:rsidP="000A2B47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0A2B47" w:rsidRPr="000A2B47" w:rsidRDefault="000A2B47" w:rsidP="000A2B47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0A2B4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l-GR"/>
        </w:rPr>
        <w:t>Σημείωση</w:t>
      </w:r>
      <w:r w:rsidRPr="000A2B47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 xml:space="preserve">: Δοτική και εμπρόθετη αφαιρετική δεν συναντάμε ποτέ στο σχολικό εγχειρίδιο. Επομένως, όλοι οι </w:t>
      </w:r>
      <w:proofErr w:type="spellStart"/>
      <w:r w:rsidRPr="000A2B47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συναντώμενοι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 xml:space="preserve"> τύποι σε </w:t>
      </w:r>
      <w:r w:rsidRPr="000A2B4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l-GR"/>
        </w:rPr>
        <w:t>-</w:t>
      </w:r>
      <w:proofErr w:type="spellStart"/>
      <w:r w:rsidRPr="000A2B4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l-GR"/>
        </w:rPr>
        <w:t>ndo</w:t>
      </w:r>
      <w:proofErr w:type="spellEnd"/>
      <w:r w:rsidRPr="000A2B47"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  <w:t> είναι απρόθετες αφαιρετικές που δηλώνουν τρόπο</w:t>
      </w:r>
    </w:p>
    <w:p w:rsidR="00454C03" w:rsidRDefault="00454C03">
      <w:bookmarkStart w:id="0" w:name="_GoBack"/>
      <w:bookmarkEnd w:id="0"/>
    </w:p>
    <w:sectPr w:rsidR="00454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70CF0"/>
    <w:multiLevelType w:val="multilevel"/>
    <w:tmpl w:val="F13C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47"/>
    <w:rsid w:val="000A2B47"/>
    <w:rsid w:val="004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2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2504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2024-04-14T19:37:00Z</dcterms:created>
  <dcterms:modified xsi:type="dcterms:W3CDTF">2024-04-14T19:37:00Z</dcterms:modified>
</cp:coreProperties>
</file>