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F6" w:rsidRPr="008B01F6" w:rsidRDefault="008B01F6" w:rsidP="008B01F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52A33"/>
          <w:sz w:val="39"/>
          <w:szCs w:val="39"/>
          <w:lang w:eastAsia="el-GR"/>
        </w:rPr>
      </w:pPr>
      <w:bookmarkStart w:id="0" w:name="_GoBack"/>
      <w:bookmarkEnd w:id="0"/>
      <w:r w:rsidRPr="008B01F6">
        <w:rPr>
          <w:rFonts w:ascii="Arial" w:eastAsia="Times New Roman" w:hAnsi="Arial" w:cs="Arial"/>
          <w:b/>
          <w:bCs/>
          <w:color w:val="D52A33"/>
          <w:sz w:val="39"/>
          <w:szCs w:val="39"/>
          <w:lang w:eastAsia="el-GR"/>
        </w:rPr>
        <w:t>ΕΝΟΤΗΤΑ 12η</w:t>
      </w:r>
    </w:p>
    <w:p w:rsidR="008B01F6" w:rsidRDefault="008B01F6" w:rsidP="008B01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</w:pP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ΚΕΙΜΕΝΟ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  <w:t xml:space="preserve">L. </w:t>
      </w:r>
      <w:proofErr w:type="spellStart"/>
      <w:proofErr w:type="gram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Aemilio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Paulo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consuli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iterum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bellum cum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Perse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rege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gerere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obtigit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.</w:t>
      </w:r>
      <w:proofErr w:type="gram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proofErr w:type="gram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Ut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domum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ad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vesperum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rediit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filiola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eius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Tertia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quae tum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erat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admodum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parvula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ad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complexum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patris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cucurrit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.</w:t>
      </w:r>
      <w:proofErr w:type="gram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Pater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filiae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osculum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dedit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sed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animadvertit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eam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esse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tristiculam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. </w:t>
      </w:r>
      <w:proofErr w:type="gram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"Quid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est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"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inquit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"mea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Tertia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?</w:t>
      </w:r>
      <w:proofErr w:type="gram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gram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Cur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tristis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es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?</w:t>
      </w:r>
      <w:proofErr w:type="gram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Quid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tibi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accidit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?"</w:t>
      </w:r>
      <w:proofErr w:type="gram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. "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Mi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pater"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respondit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illa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"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Persa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periit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".</w:t>
      </w:r>
      <w:proofErr w:type="gram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Perierat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enim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catellus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proofErr w:type="gram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eo</w:t>
      </w:r>
      <w:proofErr w:type="spellEnd"/>
      <w:proofErr w:type="gram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nomine,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quem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puella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mutum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amabat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. Tum pater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Tertiae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dixit "omen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accipio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". Sic ex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fortuito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dicto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spem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preclari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triumphi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animo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praesumpsit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.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</w:p>
    <w:p w:rsidR="008B01F6" w:rsidRPr="008B01F6" w:rsidRDefault="008B01F6" w:rsidP="008B0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</w:pP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ΜΕΤΑΦΡΑΣΗ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  <w:t xml:space="preserve">Στο Λεύκιο Αιμίλιο Παύλο, που είχε εκλεγεί ύπατος για δεύτερη φορά, έλαχε να κάνει πόλεμο με το βασιλιά Περσέα. Μόλις γύρισε σπίτι του το βραδάκι, η κορούλα του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Τερτία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, που τότε ήταν πολύ μικρούλα, έτρεξε στην αγκαλιά του. Ο πατέρας της τη φίλησε αλλά παρατήρησε ότι ήταν λιγάκι στεναχωρημένη. «Τι τρέχει,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Τερτία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μου;» ρώτησε. «Γιατί είσαι θλιμμένη; Τι σου συνέβη;» «Μπαμπά μου, πέθανε ο Πέρσης» απάντησε εκείνη. Είχε πράγματι πεθάνει ένα σκυλάκι με αυτό το όνομα, που η κοπέλα το αγαπούσε πολύ. Τότε ο πατέρας της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της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είπε: «Δέχομαι τον οιωνό». Έτσι από ένα τυχαίο λόγο ο Αιμίλιος Παύλος προγεύτηκε στην ψυχή του την ελπίδα ενός περίλαμπρου θριάμβου.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ΛΕΞΙΛΟΓΙΟ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Ουσιαστικά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Α' Κλίση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Perses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-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ae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(αρσ., χωρίς πληθ.)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filiola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-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ae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(θηλ.)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Tertia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-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ae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(θηλ., χωρίς πληθ.)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filia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-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ae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(θηλ.) (δοτ. και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αφαιρ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. πληθ.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filiis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και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filiabus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Persa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-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ae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(αρσ., χωρίς πληθ.)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puella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-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ae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(θηλ.)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Β' Κλίση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Lucius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-ii (-i)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Aemilius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-ii (αρσ., χωρίς πληθ.)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Paulus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-i (αρσ., χωρίς πληθ.)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bellum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-i (ουδ.)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vesper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vesperi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(αρσ., χωρίς πληθ.)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osculum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-i (ουδ.)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catellus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-i (αρσ.)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dictum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-i (ουδ.)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triumphus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-i (αρσ.)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animus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-i (αρσ.)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Γ</w:t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el-GR"/>
        </w:rPr>
        <w:t xml:space="preserve"> </w:t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Κλίση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  <w:t xml:space="preserve">consul,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consulis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(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αρσ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.)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spellStart"/>
      <w:proofErr w:type="gram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rex</w:t>
      </w:r>
      <w:proofErr w:type="spellEnd"/>
      <w:proofErr w:type="gram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regis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(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αρσ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.)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gram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pater</w:t>
      </w:r>
      <w:proofErr w:type="gram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patris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(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αρσ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.)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spellStart"/>
      <w:proofErr w:type="gram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nomen</w:t>
      </w:r>
      <w:proofErr w:type="spellEnd"/>
      <w:proofErr w:type="gram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nominis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(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ουδ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.)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gram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omen</w:t>
      </w:r>
      <w:proofErr w:type="gram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ominis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(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ουδ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.)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Δ</w:t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el-GR"/>
        </w:rPr>
        <w:t xml:space="preserve">' </w:t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Κλίση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domus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-us (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θηλ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.)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spellStart"/>
      <w:proofErr w:type="gram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complexus</w:t>
      </w:r>
      <w:proofErr w:type="spellEnd"/>
      <w:proofErr w:type="gram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-us (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αρσ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.)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Ε</w:t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el-GR"/>
        </w:rPr>
        <w:t xml:space="preserve">' </w:t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Κλίση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spes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spei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(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θηλ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.,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πληθ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. 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μόνο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ονομ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.,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αιτιατ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.,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κλητ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.: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spes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Επίθετα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Β</w:t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el-GR"/>
        </w:rPr>
        <w:t xml:space="preserve">' </w:t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Κλίση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parvulus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-a -um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tristiculus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-a -um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lastRenderedPageBreak/>
        <w:t>fortuitus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-a -um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praeclarus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-a -um,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Γ</w:t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el-GR"/>
        </w:rPr>
        <w:t xml:space="preserve"> </w:t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Κλίση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tristis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-is -e,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Αντωνυμίες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  <w:t xml:space="preserve">is,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ea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, id (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οριστική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  <w:t>qui, quae, quod (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αναφορική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quis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quis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, quid (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ερωτηματική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ουσιαστική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meus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mea,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meum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(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κτητική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tu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(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προσωπική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ille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illa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illud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(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δεικτική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Ρήματα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el-GR"/>
        </w:rPr>
        <w:t>1</w:t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η</w:t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el-GR"/>
        </w:rPr>
        <w:t xml:space="preserve"> </w:t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Συζυγία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  <w:t xml:space="preserve">do,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dedi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, datum, dare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amo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amavi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amatum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amare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el-GR"/>
        </w:rPr>
        <w:t>2</w:t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η</w:t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el-GR"/>
        </w:rPr>
        <w:t xml:space="preserve"> </w:t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Συζυγία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respondeo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respondi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responsum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respondere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el-GR"/>
        </w:rPr>
        <w:t>3</w:t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η</w:t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el-GR"/>
        </w:rPr>
        <w:t xml:space="preserve"> </w:t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Συζυγία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gero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gessi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gestum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gerere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obtingit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obtigit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-,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obtingere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(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απρόσ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.)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spellStart"/>
      <w:proofErr w:type="gram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curro</w:t>
      </w:r>
      <w:proofErr w:type="spellEnd"/>
      <w:proofErr w:type="gram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cucurri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cursum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currere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animadverto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animadverti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animadversum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animadvertere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accido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accidi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-,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accidere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και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accidit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accidit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-,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accidere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(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απρόσ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.)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dico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dixi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dictum,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dicere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accipio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accepi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acceptum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accipere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praesumo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praesumpsi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praesumptum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praesumere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el-GR"/>
        </w:rPr>
        <w:t>4</w:t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η</w:t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el-GR"/>
        </w:rPr>
        <w:t xml:space="preserve"> </w:t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Συζυγία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redeo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redii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reditum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redire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pereo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perii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peritum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perire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Βοηθητικό</w:t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el-GR"/>
        </w:rPr>
        <w:t xml:space="preserve"> </w:t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ρήμα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  <w:t xml:space="preserve">sum,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fui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,-,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esse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Επιρρήματα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iterum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tum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admodum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multum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sic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Προθέσεις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  <w:t xml:space="preserve">cum (+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αφαιρ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.)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gram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ad</w:t>
      </w:r>
      <w:proofErr w:type="gram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(+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αιτιατ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.)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gram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ex</w:t>
      </w:r>
      <w:proofErr w:type="gram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(+ 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αφαιρ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.)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gram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cur</w:t>
      </w:r>
      <w:proofErr w:type="gram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r w:rsidRPr="008B01F6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Σύνδεσμοι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ut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(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χρονικός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sed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(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αντιθετικός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)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br/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enim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 (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αιτιολογικός</w:t>
      </w:r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-</w:t>
      </w:r>
      <w:proofErr w:type="spellStart"/>
      <w:r w:rsidRPr="008B01F6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παρατακιικός</w:t>
      </w:r>
      <w:proofErr w:type="spellEnd"/>
      <w:r w:rsidRPr="008B01F6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)</w:t>
      </w:r>
    </w:p>
    <w:p w:rsidR="00BC05FE" w:rsidRPr="008B01F6" w:rsidRDefault="00BC05FE">
      <w:pPr>
        <w:rPr>
          <w:lang w:val="en-US"/>
        </w:rPr>
      </w:pPr>
    </w:p>
    <w:sectPr w:rsidR="00BC05FE" w:rsidRPr="008B01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F6"/>
    <w:rsid w:val="008B01F6"/>
    <w:rsid w:val="00BC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2021-04-21T01:18:00Z</dcterms:created>
  <dcterms:modified xsi:type="dcterms:W3CDTF">2021-04-21T01:18:00Z</dcterms:modified>
</cp:coreProperties>
</file>