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3DB" w:rsidRPr="008E23DB" w:rsidRDefault="008E23DB" w:rsidP="008E23DB">
      <w:pPr>
        <w:spacing w:before="100" w:beforeAutospacing="1" w:after="100" w:afterAutospacing="1" w:line="240" w:lineRule="auto"/>
        <w:jc w:val="both"/>
        <w:rPr>
          <w:rFonts w:ascii="Times New Roman" w:eastAsia="Times New Roman" w:hAnsi="Times New Roman" w:cs="Times New Roman"/>
          <w:spacing w:val="15"/>
          <w:sz w:val="21"/>
          <w:szCs w:val="21"/>
          <w:lang w:eastAsia="el-GR"/>
        </w:rPr>
      </w:pPr>
      <w:r w:rsidRPr="008E23DB">
        <w:rPr>
          <w:rFonts w:ascii="Times New Roman" w:eastAsia="Times New Roman" w:hAnsi="Times New Roman" w:cs="Times New Roman"/>
          <w:spacing w:val="15"/>
          <w:sz w:val="21"/>
          <w:szCs w:val="21"/>
          <w:lang w:eastAsia="el-GR"/>
        </w:rPr>
        <w:t>Ο χώρος των παραστάσεων ήταν το θέατρο, ένας κυκλικός χώρος που περιλάμβανε:</w:t>
      </w:r>
    </w:p>
    <w:p w:rsidR="008E23DB" w:rsidRPr="008E23DB" w:rsidRDefault="008E23DB" w:rsidP="008E23DB">
      <w:pPr>
        <w:spacing w:before="300" w:after="100" w:afterAutospacing="1" w:line="240" w:lineRule="auto"/>
        <w:ind w:left="630" w:hanging="300"/>
        <w:jc w:val="both"/>
        <w:rPr>
          <w:rFonts w:ascii="Times New Roman" w:eastAsia="Times New Roman" w:hAnsi="Times New Roman" w:cs="Times New Roman"/>
          <w:spacing w:val="15"/>
          <w:sz w:val="21"/>
          <w:szCs w:val="21"/>
          <w:lang w:eastAsia="el-GR"/>
        </w:rPr>
      </w:pPr>
      <w:r w:rsidRPr="008E23DB">
        <w:rPr>
          <w:rFonts w:ascii="Times New Roman" w:eastAsia="Times New Roman" w:hAnsi="Times New Roman" w:cs="Times New Roman"/>
          <w:b/>
          <w:bCs/>
          <w:spacing w:val="15"/>
          <w:sz w:val="21"/>
          <w:szCs w:val="21"/>
          <w:lang w:eastAsia="el-GR"/>
        </w:rPr>
        <w:t>•</w:t>
      </w:r>
      <w:r w:rsidRPr="008E23DB">
        <w:rPr>
          <w:rFonts w:ascii="Times New Roman" w:eastAsia="Times New Roman" w:hAnsi="Times New Roman" w:cs="Times New Roman"/>
          <w:spacing w:val="15"/>
          <w:sz w:val="21"/>
          <w:szCs w:val="21"/>
          <w:lang w:eastAsia="el-GR"/>
        </w:rPr>
        <w:t>Το </w:t>
      </w:r>
      <w:proofErr w:type="spellStart"/>
      <w:r w:rsidRPr="008E23DB">
        <w:rPr>
          <w:rFonts w:ascii="Times New Roman" w:eastAsia="Times New Roman" w:hAnsi="Times New Roman" w:cs="Times New Roman"/>
          <w:i/>
          <w:iCs/>
          <w:spacing w:val="15"/>
          <w:sz w:val="21"/>
          <w:szCs w:val="21"/>
          <w:lang w:eastAsia="el-GR"/>
        </w:rPr>
        <w:t>θέατρον</w:t>
      </w:r>
      <w:proofErr w:type="spellEnd"/>
      <w:r w:rsidRPr="008E23DB">
        <w:rPr>
          <w:rFonts w:ascii="Times New Roman" w:eastAsia="Times New Roman" w:hAnsi="Times New Roman" w:cs="Times New Roman"/>
          <w:spacing w:val="15"/>
          <w:sz w:val="21"/>
          <w:szCs w:val="21"/>
          <w:lang w:eastAsia="el-GR"/>
        </w:rPr>
        <w:t>, που ονομαζόταν και </w:t>
      </w:r>
      <w:proofErr w:type="spellStart"/>
      <w:r w:rsidRPr="008E23DB">
        <w:rPr>
          <w:rFonts w:ascii="Times New Roman" w:eastAsia="Times New Roman" w:hAnsi="Times New Roman" w:cs="Times New Roman"/>
          <w:i/>
          <w:iCs/>
          <w:spacing w:val="15"/>
          <w:sz w:val="21"/>
          <w:szCs w:val="21"/>
          <w:lang w:eastAsia="el-GR"/>
        </w:rPr>
        <w:t>κοῖλον</w:t>
      </w:r>
      <w:proofErr w:type="spellEnd"/>
      <w:r w:rsidRPr="008E23DB">
        <w:rPr>
          <w:rFonts w:ascii="Times New Roman" w:eastAsia="Times New Roman" w:hAnsi="Times New Roman" w:cs="Times New Roman"/>
          <w:spacing w:val="15"/>
          <w:sz w:val="21"/>
          <w:szCs w:val="21"/>
          <w:lang w:eastAsia="el-GR"/>
        </w:rPr>
        <w:t>, εξαιτίας του σχήματός του, χώρο τού </w:t>
      </w:r>
      <w:proofErr w:type="spellStart"/>
      <w:r w:rsidRPr="008E23DB">
        <w:rPr>
          <w:rFonts w:ascii="Times New Roman" w:eastAsia="Times New Roman" w:hAnsi="Times New Roman" w:cs="Times New Roman"/>
          <w:i/>
          <w:iCs/>
          <w:spacing w:val="15"/>
          <w:sz w:val="21"/>
          <w:szCs w:val="21"/>
          <w:lang w:eastAsia="el-GR"/>
        </w:rPr>
        <w:t>θεᾶσθαι</w:t>
      </w:r>
      <w:proofErr w:type="spellEnd"/>
      <w:r w:rsidRPr="008E23DB">
        <w:rPr>
          <w:rFonts w:ascii="Times New Roman" w:eastAsia="Times New Roman" w:hAnsi="Times New Roman" w:cs="Times New Roman"/>
          <w:spacing w:val="15"/>
          <w:sz w:val="21"/>
          <w:szCs w:val="21"/>
          <w:lang w:eastAsia="el-GR"/>
        </w:rPr>
        <w:t> (</w:t>
      </w:r>
      <w:proofErr w:type="spellStart"/>
      <w:r w:rsidRPr="008E23DB">
        <w:rPr>
          <w:rFonts w:ascii="Times New Roman" w:eastAsia="Times New Roman" w:hAnsi="Times New Roman" w:cs="Times New Roman"/>
          <w:i/>
          <w:iCs/>
          <w:spacing w:val="15"/>
          <w:sz w:val="21"/>
          <w:szCs w:val="21"/>
          <w:lang w:eastAsia="el-GR"/>
        </w:rPr>
        <w:t>θεάομαι</w:t>
      </w:r>
      <w:proofErr w:type="spellEnd"/>
      <w:r w:rsidRPr="008E23DB">
        <w:rPr>
          <w:rFonts w:ascii="Times New Roman" w:eastAsia="Times New Roman" w:hAnsi="Times New Roman" w:cs="Times New Roman"/>
          <w:i/>
          <w:iCs/>
          <w:spacing w:val="15"/>
          <w:sz w:val="21"/>
          <w:szCs w:val="21"/>
          <w:lang w:eastAsia="el-GR"/>
        </w:rPr>
        <w:t>, -</w:t>
      </w:r>
      <w:proofErr w:type="spellStart"/>
      <w:r w:rsidRPr="008E23DB">
        <w:rPr>
          <w:rFonts w:ascii="Times New Roman" w:eastAsia="Times New Roman" w:hAnsi="Times New Roman" w:cs="Times New Roman"/>
          <w:i/>
          <w:iCs/>
          <w:spacing w:val="15"/>
          <w:sz w:val="21"/>
          <w:szCs w:val="21"/>
          <w:lang w:eastAsia="el-GR"/>
        </w:rPr>
        <w:t>ῶμα</w:t>
      </w:r>
      <w:r w:rsidRPr="008E23DB">
        <w:rPr>
          <w:rFonts w:ascii="Times New Roman" w:eastAsia="Times New Roman" w:hAnsi="Times New Roman" w:cs="Times New Roman"/>
          <w:spacing w:val="15"/>
          <w:sz w:val="21"/>
          <w:szCs w:val="21"/>
          <w:lang w:eastAsia="el-GR"/>
        </w:rPr>
        <w:t>ι</w:t>
      </w:r>
      <w:proofErr w:type="spellEnd"/>
      <w:r w:rsidRPr="008E23DB">
        <w:rPr>
          <w:rFonts w:ascii="Times New Roman" w:eastAsia="Times New Roman" w:hAnsi="Times New Roman" w:cs="Times New Roman"/>
          <w:spacing w:val="15"/>
          <w:sz w:val="21"/>
          <w:szCs w:val="21"/>
          <w:lang w:eastAsia="el-GR"/>
        </w:rPr>
        <w:t xml:space="preserve"> = βλέπω), όπου κάθονταν οι θεατές ημικυκλικά, απέναντι από τη σκηνή. </w:t>
      </w:r>
      <w:proofErr w:type="spellStart"/>
      <w:r w:rsidRPr="008E23DB">
        <w:rPr>
          <w:rFonts w:ascii="Times New Roman" w:eastAsia="Times New Roman" w:hAnsi="Times New Roman" w:cs="Times New Roman"/>
          <w:spacing w:val="15"/>
          <w:sz w:val="21"/>
          <w:szCs w:val="21"/>
          <w:lang w:eastAsia="el-GR"/>
        </w:rPr>
        <w:t>Tα</w:t>
      </w:r>
      <w:proofErr w:type="spellEnd"/>
      <w:r w:rsidRPr="008E23DB">
        <w:rPr>
          <w:rFonts w:ascii="Times New Roman" w:eastAsia="Times New Roman" w:hAnsi="Times New Roman" w:cs="Times New Roman"/>
          <w:spacing w:val="15"/>
          <w:sz w:val="21"/>
          <w:szCs w:val="21"/>
          <w:lang w:eastAsia="el-GR"/>
        </w:rPr>
        <w:t xml:space="preserve"> καθίσματα (</w:t>
      </w:r>
      <w:proofErr w:type="spellStart"/>
      <w:r w:rsidRPr="008E23DB">
        <w:rPr>
          <w:rFonts w:ascii="Times New Roman" w:eastAsia="Times New Roman" w:hAnsi="Times New Roman" w:cs="Times New Roman"/>
          <w:i/>
          <w:iCs/>
          <w:spacing w:val="15"/>
          <w:sz w:val="21"/>
          <w:szCs w:val="21"/>
          <w:lang w:eastAsia="el-GR"/>
        </w:rPr>
        <w:t>ἑδώλια</w:t>
      </w:r>
      <w:proofErr w:type="spellEnd"/>
      <w:r w:rsidRPr="008E23DB">
        <w:rPr>
          <w:rFonts w:ascii="Times New Roman" w:eastAsia="Times New Roman" w:hAnsi="Times New Roman" w:cs="Times New Roman"/>
          <w:spacing w:val="15"/>
          <w:sz w:val="21"/>
          <w:szCs w:val="21"/>
          <w:lang w:eastAsia="el-GR"/>
        </w:rPr>
        <w:t>) των θεατών, που ήταν κτισμένα αμφιθεατρικά, διέκοπταν κλίμακες (βαθμίδες) από τις οποίες οι θεατές ανέβαιναν στις υψηλότερες θέσεις. Δύο μεγάλοι διάδρομοι (</w:t>
      </w:r>
      <w:r w:rsidRPr="008E23DB">
        <w:rPr>
          <w:rFonts w:ascii="Times New Roman" w:eastAsia="Times New Roman" w:hAnsi="Times New Roman" w:cs="Times New Roman"/>
          <w:i/>
          <w:iCs/>
          <w:spacing w:val="15"/>
          <w:sz w:val="21"/>
          <w:szCs w:val="21"/>
          <w:lang w:eastAsia="el-GR"/>
        </w:rPr>
        <w:t>διαζώματα</w:t>
      </w:r>
      <w:r w:rsidRPr="008E23DB">
        <w:rPr>
          <w:rFonts w:ascii="Times New Roman" w:eastAsia="Times New Roman" w:hAnsi="Times New Roman" w:cs="Times New Roman"/>
          <w:spacing w:val="15"/>
          <w:sz w:val="21"/>
          <w:szCs w:val="21"/>
          <w:lang w:eastAsia="el-GR"/>
        </w:rPr>
        <w:t xml:space="preserve">) χώριζαν το κοίλον σε τρεις ζώνες, για να   διευκολύνουν την κυκλοφορία των θεατών. </w:t>
      </w:r>
      <w:proofErr w:type="spellStart"/>
      <w:r w:rsidRPr="008E23DB">
        <w:rPr>
          <w:rFonts w:ascii="Times New Roman" w:eastAsia="Times New Roman" w:hAnsi="Times New Roman" w:cs="Times New Roman"/>
          <w:spacing w:val="15"/>
          <w:sz w:val="21"/>
          <w:szCs w:val="21"/>
          <w:lang w:eastAsia="el-GR"/>
        </w:rPr>
        <w:t>Tα</w:t>
      </w:r>
      <w:proofErr w:type="spellEnd"/>
      <w:r w:rsidRPr="008E23DB">
        <w:rPr>
          <w:rFonts w:ascii="Times New Roman" w:eastAsia="Times New Roman" w:hAnsi="Times New Roman" w:cs="Times New Roman"/>
          <w:spacing w:val="15"/>
          <w:sz w:val="21"/>
          <w:szCs w:val="21"/>
          <w:lang w:eastAsia="el-GR"/>
        </w:rPr>
        <w:t xml:space="preserve"> σφηνοειδή τμήματα των εδωλίων, ανάμεσα στις κλίμακες, ονομάζονταν </w:t>
      </w:r>
      <w:r w:rsidRPr="008E23DB">
        <w:rPr>
          <w:rFonts w:ascii="Times New Roman" w:eastAsia="Times New Roman" w:hAnsi="Times New Roman" w:cs="Times New Roman"/>
          <w:i/>
          <w:iCs/>
          <w:spacing w:val="15"/>
          <w:sz w:val="21"/>
          <w:szCs w:val="21"/>
          <w:lang w:eastAsia="el-GR"/>
        </w:rPr>
        <w:t>κερκίδες</w:t>
      </w:r>
      <w:r w:rsidRPr="008E23DB">
        <w:rPr>
          <w:rFonts w:ascii="Times New Roman" w:eastAsia="Times New Roman" w:hAnsi="Times New Roman" w:cs="Times New Roman"/>
          <w:spacing w:val="15"/>
          <w:sz w:val="21"/>
          <w:szCs w:val="21"/>
          <w:lang w:eastAsia="el-GR"/>
        </w:rPr>
        <w:t xml:space="preserve">. </w:t>
      </w:r>
      <w:proofErr w:type="spellStart"/>
      <w:r w:rsidRPr="008E23DB">
        <w:rPr>
          <w:rFonts w:ascii="Times New Roman" w:eastAsia="Times New Roman" w:hAnsi="Times New Roman" w:cs="Times New Roman"/>
          <w:spacing w:val="15"/>
          <w:sz w:val="21"/>
          <w:szCs w:val="21"/>
          <w:lang w:eastAsia="el-GR"/>
        </w:rPr>
        <w:t>Oι</w:t>
      </w:r>
      <w:proofErr w:type="spellEnd"/>
      <w:r w:rsidRPr="008E23DB">
        <w:rPr>
          <w:rFonts w:ascii="Times New Roman" w:eastAsia="Times New Roman" w:hAnsi="Times New Roman" w:cs="Times New Roman"/>
          <w:spacing w:val="15"/>
          <w:sz w:val="21"/>
          <w:szCs w:val="21"/>
          <w:lang w:eastAsia="el-GR"/>
        </w:rPr>
        <w:t xml:space="preserve"> θέσεις των θεατών ήταν αριθμημένες.</w:t>
      </w:r>
    </w:p>
    <w:p w:rsidR="008E23DB" w:rsidRPr="008E23DB" w:rsidRDefault="008E23DB" w:rsidP="008E23DB">
      <w:pPr>
        <w:spacing w:after="100" w:afterAutospacing="1" w:line="240" w:lineRule="auto"/>
        <w:ind w:left="630" w:hanging="300"/>
        <w:jc w:val="both"/>
        <w:rPr>
          <w:rFonts w:ascii="Times New Roman" w:eastAsia="Times New Roman" w:hAnsi="Times New Roman" w:cs="Times New Roman"/>
          <w:spacing w:val="15"/>
          <w:sz w:val="21"/>
          <w:szCs w:val="21"/>
          <w:lang w:eastAsia="el-GR"/>
        </w:rPr>
      </w:pPr>
      <w:r w:rsidRPr="008E23DB">
        <w:rPr>
          <w:rFonts w:ascii="Times New Roman" w:eastAsia="Times New Roman" w:hAnsi="Times New Roman" w:cs="Times New Roman"/>
          <w:b/>
          <w:bCs/>
          <w:spacing w:val="15"/>
          <w:sz w:val="21"/>
          <w:szCs w:val="21"/>
          <w:lang w:eastAsia="el-GR"/>
        </w:rPr>
        <w:t>•</w:t>
      </w:r>
      <w:r w:rsidRPr="008E23DB">
        <w:rPr>
          <w:rFonts w:ascii="Times New Roman" w:eastAsia="Times New Roman" w:hAnsi="Times New Roman" w:cs="Times New Roman"/>
          <w:spacing w:val="15"/>
          <w:sz w:val="21"/>
          <w:szCs w:val="21"/>
          <w:lang w:eastAsia="el-GR"/>
        </w:rPr>
        <w:t>Την </w:t>
      </w:r>
      <w:r w:rsidRPr="008E23DB">
        <w:rPr>
          <w:rFonts w:ascii="Times New Roman" w:eastAsia="Times New Roman" w:hAnsi="Times New Roman" w:cs="Times New Roman"/>
          <w:i/>
          <w:iCs/>
          <w:spacing w:val="15"/>
          <w:sz w:val="21"/>
          <w:szCs w:val="21"/>
          <w:lang w:eastAsia="el-GR"/>
        </w:rPr>
        <w:t>ορχήστρα</w:t>
      </w:r>
      <w:r w:rsidRPr="008E23DB">
        <w:rPr>
          <w:rFonts w:ascii="Times New Roman" w:eastAsia="Times New Roman" w:hAnsi="Times New Roman" w:cs="Times New Roman"/>
          <w:spacing w:val="15"/>
          <w:sz w:val="21"/>
          <w:szCs w:val="21"/>
          <w:lang w:eastAsia="el-GR"/>
        </w:rPr>
        <w:t> (</w:t>
      </w:r>
      <w:proofErr w:type="spellStart"/>
      <w:r w:rsidRPr="008E23DB">
        <w:rPr>
          <w:rFonts w:ascii="Times New Roman" w:eastAsia="Times New Roman" w:hAnsi="Times New Roman" w:cs="Times New Roman"/>
          <w:i/>
          <w:iCs/>
          <w:spacing w:val="15"/>
          <w:sz w:val="21"/>
          <w:szCs w:val="21"/>
          <w:lang w:eastAsia="el-GR"/>
        </w:rPr>
        <w:t>ὀρχέομαι</w:t>
      </w:r>
      <w:proofErr w:type="spellEnd"/>
      <w:r w:rsidRPr="008E23DB">
        <w:rPr>
          <w:rFonts w:ascii="Times New Roman" w:eastAsia="Times New Roman" w:hAnsi="Times New Roman" w:cs="Times New Roman"/>
          <w:i/>
          <w:iCs/>
          <w:spacing w:val="15"/>
          <w:sz w:val="21"/>
          <w:szCs w:val="21"/>
          <w:lang w:eastAsia="el-GR"/>
        </w:rPr>
        <w:t>, -</w:t>
      </w:r>
      <w:proofErr w:type="spellStart"/>
      <w:r w:rsidRPr="008E23DB">
        <w:rPr>
          <w:rFonts w:ascii="Times New Roman" w:eastAsia="Times New Roman" w:hAnsi="Times New Roman" w:cs="Times New Roman"/>
          <w:i/>
          <w:iCs/>
          <w:spacing w:val="15"/>
          <w:sz w:val="21"/>
          <w:szCs w:val="21"/>
          <w:lang w:eastAsia="el-GR"/>
        </w:rPr>
        <w:t>οῦμαι</w:t>
      </w:r>
      <w:proofErr w:type="spellEnd"/>
      <w:r w:rsidRPr="008E23DB">
        <w:rPr>
          <w:rFonts w:ascii="Times New Roman" w:eastAsia="Times New Roman" w:hAnsi="Times New Roman" w:cs="Times New Roman"/>
          <w:spacing w:val="15"/>
          <w:sz w:val="21"/>
          <w:szCs w:val="21"/>
          <w:lang w:eastAsia="el-GR"/>
        </w:rPr>
        <w:t xml:space="preserve"> = χορεύω), κυκλικό ή ημικυκλικό μέρος για το </w:t>
      </w:r>
      <w:proofErr w:type="spellStart"/>
      <w:r w:rsidRPr="008E23DB">
        <w:rPr>
          <w:rFonts w:ascii="Times New Roman" w:eastAsia="Times New Roman" w:hAnsi="Times New Roman" w:cs="Times New Roman"/>
          <w:spacing w:val="15"/>
          <w:sz w:val="21"/>
          <w:szCs w:val="21"/>
          <w:lang w:eastAsia="el-GR"/>
        </w:rPr>
        <w:t>Xορό</w:t>
      </w:r>
      <w:proofErr w:type="spellEnd"/>
      <w:r w:rsidRPr="008E23DB">
        <w:rPr>
          <w:rFonts w:ascii="Times New Roman" w:eastAsia="Times New Roman" w:hAnsi="Times New Roman" w:cs="Times New Roman"/>
          <w:spacing w:val="15"/>
          <w:sz w:val="21"/>
          <w:szCs w:val="21"/>
          <w:lang w:eastAsia="el-GR"/>
        </w:rPr>
        <w:t>, με τη </w:t>
      </w:r>
      <w:r w:rsidRPr="008E23DB">
        <w:rPr>
          <w:rFonts w:ascii="Times New Roman" w:eastAsia="Times New Roman" w:hAnsi="Times New Roman" w:cs="Times New Roman"/>
          <w:i/>
          <w:iCs/>
          <w:spacing w:val="15"/>
          <w:sz w:val="21"/>
          <w:szCs w:val="21"/>
          <w:lang w:eastAsia="el-GR"/>
        </w:rPr>
        <w:t>θυμέλη </w:t>
      </w:r>
      <w:r w:rsidRPr="008E23DB">
        <w:rPr>
          <w:rFonts w:ascii="Times New Roman" w:eastAsia="Times New Roman" w:hAnsi="Times New Roman" w:cs="Times New Roman"/>
          <w:spacing w:val="15"/>
          <w:sz w:val="21"/>
          <w:szCs w:val="21"/>
          <w:lang w:eastAsia="el-GR"/>
        </w:rPr>
        <w:t>(&lt; </w:t>
      </w:r>
      <w:r w:rsidRPr="008E23DB">
        <w:rPr>
          <w:rFonts w:ascii="Times New Roman" w:eastAsia="Times New Roman" w:hAnsi="Times New Roman" w:cs="Times New Roman"/>
          <w:i/>
          <w:iCs/>
          <w:spacing w:val="15"/>
          <w:sz w:val="21"/>
          <w:szCs w:val="21"/>
          <w:lang w:eastAsia="el-GR"/>
        </w:rPr>
        <w:t>θύω</w:t>
      </w:r>
      <w:r w:rsidRPr="008E23DB">
        <w:rPr>
          <w:rFonts w:ascii="Times New Roman" w:eastAsia="Times New Roman" w:hAnsi="Times New Roman" w:cs="Times New Roman"/>
          <w:spacing w:val="15"/>
          <w:sz w:val="21"/>
          <w:szCs w:val="21"/>
          <w:lang w:eastAsia="el-GR"/>
        </w:rPr>
        <w:t xml:space="preserve">), είδος βωμού, στο κέντρο. </w:t>
      </w:r>
      <w:proofErr w:type="spellStart"/>
      <w:r w:rsidRPr="008E23DB">
        <w:rPr>
          <w:rFonts w:ascii="Times New Roman" w:eastAsia="Times New Roman" w:hAnsi="Times New Roman" w:cs="Times New Roman"/>
          <w:spacing w:val="15"/>
          <w:sz w:val="21"/>
          <w:szCs w:val="21"/>
          <w:lang w:eastAsia="el-GR"/>
        </w:rPr>
        <w:t>Tο</w:t>
      </w:r>
      <w:proofErr w:type="spellEnd"/>
      <w:r w:rsidRPr="008E23DB">
        <w:rPr>
          <w:rFonts w:ascii="Times New Roman" w:eastAsia="Times New Roman" w:hAnsi="Times New Roman" w:cs="Times New Roman"/>
          <w:spacing w:val="15"/>
          <w:sz w:val="21"/>
          <w:szCs w:val="21"/>
          <w:lang w:eastAsia="el-GR"/>
        </w:rPr>
        <w:t xml:space="preserve"> κυκλικό σχήμα σχετίζεται με τους κυκλικούς χορούς των λαϊκών γιορτών.</w:t>
      </w:r>
    </w:p>
    <w:p w:rsidR="008E23DB" w:rsidRPr="008E23DB" w:rsidRDefault="008E23DB" w:rsidP="008E23DB">
      <w:pPr>
        <w:spacing w:after="100" w:afterAutospacing="1" w:line="240" w:lineRule="auto"/>
        <w:ind w:left="630" w:hanging="300"/>
        <w:jc w:val="both"/>
        <w:rPr>
          <w:rFonts w:ascii="Times New Roman" w:eastAsia="Times New Roman" w:hAnsi="Times New Roman" w:cs="Times New Roman"/>
          <w:spacing w:val="15"/>
          <w:sz w:val="21"/>
          <w:szCs w:val="21"/>
          <w:lang w:eastAsia="el-GR"/>
        </w:rPr>
      </w:pPr>
      <w:r w:rsidRPr="008E23DB">
        <w:rPr>
          <w:rFonts w:ascii="Times New Roman" w:eastAsia="Times New Roman" w:hAnsi="Times New Roman" w:cs="Times New Roman"/>
          <w:b/>
          <w:bCs/>
          <w:spacing w:val="15"/>
          <w:sz w:val="21"/>
          <w:szCs w:val="21"/>
          <w:lang w:eastAsia="el-GR"/>
        </w:rPr>
        <w:t>•</w:t>
      </w:r>
      <w:r w:rsidRPr="008E23DB">
        <w:rPr>
          <w:rFonts w:ascii="Times New Roman" w:eastAsia="Times New Roman" w:hAnsi="Times New Roman" w:cs="Times New Roman"/>
          <w:spacing w:val="15"/>
          <w:sz w:val="21"/>
          <w:szCs w:val="21"/>
          <w:lang w:eastAsia="el-GR"/>
        </w:rPr>
        <w:t>Τη </w:t>
      </w:r>
      <w:r w:rsidRPr="008E23DB">
        <w:rPr>
          <w:rFonts w:ascii="Times New Roman" w:eastAsia="Times New Roman" w:hAnsi="Times New Roman" w:cs="Times New Roman"/>
          <w:i/>
          <w:iCs/>
          <w:spacing w:val="15"/>
          <w:sz w:val="21"/>
          <w:szCs w:val="21"/>
          <w:lang w:eastAsia="el-GR"/>
        </w:rPr>
        <w:t>σκηνή</w:t>
      </w:r>
      <w:r w:rsidRPr="008E23DB">
        <w:rPr>
          <w:rFonts w:ascii="Times New Roman" w:eastAsia="Times New Roman" w:hAnsi="Times New Roman" w:cs="Times New Roman"/>
          <w:spacing w:val="15"/>
          <w:sz w:val="21"/>
          <w:szCs w:val="21"/>
          <w:lang w:eastAsia="el-GR"/>
        </w:rPr>
        <w:t>, ξύλινη επιμήκη κατασκευή προς την ελεύθερη πλευρά της ορχήστρας, με ειδικό χώρο στο πίσω μέρος για τη σκηνογραφία και την αλλαγή ενδυμασίας των υποκριτών. H πλευρά της σκηνής προς τους θεατές εικόνιζε συνήθως την πρόσοψη ανακτόρου ή ναού, με τρεις θύρες· η μεσαία (</w:t>
      </w:r>
      <w:proofErr w:type="spellStart"/>
      <w:r w:rsidRPr="008E23DB">
        <w:rPr>
          <w:rFonts w:ascii="Times New Roman" w:eastAsia="Times New Roman" w:hAnsi="Times New Roman" w:cs="Times New Roman"/>
          <w:i/>
          <w:iCs/>
          <w:spacing w:val="15"/>
          <w:sz w:val="21"/>
          <w:szCs w:val="21"/>
          <w:lang w:eastAsia="el-GR"/>
        </w:rPr>
        <w:t>βασίλειος</w:t>
      </w:r>
      <w:proofErr w:type="spellEnd"/>
      <w:r w:rsidRPr="008E23DB">
        <w:rPr>
          <w:rFonts w:ascii="Times New Roman" w:eastAsia="Times New Roman" w:hAnsi="Times New Roman" w:cs="Times New Roman"/>
          <w:i/>
          <w:iCs/>
          <w:spacing w:val="15"/>
          <w:sz w:val="21"/>
          <w:szCs w:val="21"/>
          <w:lang w:eastAsia="el-GR"/>
        </w:rPr>
        <w:t xml:space="preserve"> θύρα</w:t>
      </w:r>
      <w:r w:rsidRPr="008E23DB">
        <w:rPr>
          <w:rFonts w:ascii="Times New Roman" w:eastAsia="Times New Roman" w:hAnsi="Times New Roman" w:cs="Times New Roman"/>
          <w:spacing w:val="15"/>
          <w:sz w:val="21"/>
          <w:szCs w:val="21"/>
          <w:lang w:eastAsia="el-GR"/>
        </w:rPr>
        <w:t>) χρησίμευε για την έξοδο του βασιλιά.</w:t>
      </w:r>
    </w:p>
    <w:p w:rsidR="008E23DB" w:rsidRPr="008E23DB" w:rsidRDefault="008E23DB" w:rsidP="008E23DB">
      <w:pPr>
        <w:spacing w:before="100" w:beforeAutospacing="1" w:after="100" w:afterAutospacing="1" w:line="240" w:lineRule="auto"/>
        <w:ind w:firstLine="480"/>
        <w:jc w:val="both"/>
        <w:rPr>
          <w:rFonts w:ascii="Times New Roman" w:eastAsia="Times New Roman" w:hAnsi="Times New Roman" w:cs="Times New Roman"/>
          <w:spacing w:val="15"/>
          <w:sz w:val="21"/>
          <w:szCs w:val="21"/>
          <w:lang w:eastAsia="el-GR"/>
        </w:rPr>
      </w:pPr>
      <w:r w:rsidRPr="008E23DB">
        <w:rPr>
          <w:rFonts w:ascii="Times New Roman" w:eastAsia="Times New Roman" w:hAnsi="Times New Roman" w:cs="Times New Roman"/>
          <w:spacing w:val="15"/>
          <w:sz w:val="21"/>
          <w:szCs w:val="21"/>
          <w:lang w:eastAsia="el-GR"/>
        </w:rPr>
        <w:t>Δεξιά και αριστερά της σκηνής υπήρχαν δύο διάδρομοι, </w:t>
      </w:r>
      <w:r w:rsidRPr="008E23DB">
        <w:rPr>
          <w:rFonts w:ascii="Times New Roman" w:eastAsia="Times New Roman" w:hAnsi="Times New Roman" w:cs="Times New Roman"/>
          <w:i/>
          <w:iCs/>
          <w:spacing w:val="15"/>
          <w:sz w:val="21"/>
          <w:szCs w:val="21"/>
          <w:lang w:eastAsia="el-GR"/>
        </w:rPr>
        <w:t>οι πάροδοι</w:t>
      </w:r>
      <w:r w:rsidRPr="008E23DB">
        <w:rPr>
          <w:rFonts w:ascii="Times New Roman" w:eastAsia="Times New Roman" w:hAnsi="Times New Roman" w:cs="Times New Roman"/>
          <w:spacing w:val="15"/>
          <w:sz w:val="21"/>
          <w:szCs w:val="21"/>
          <w:lang w:eastAsia="el-GR"/>
        </w:rPr>
        <w:t xml:space="preserve">: Από τη δεξιά για τους θεατές πάροδο έμπαιναν όσα πρόσωπα του έργου έρχονταν (υποτίθεται) από την πόλη ή από το λιμάνι, και από την αριστερή όσα έρχονταν από τους αγρούς ή από άλλη πόλη. </w:t>
      </w:r>
      <w:proofErr w:type="spellStart"/>
      <w:r w:rsidRPr="008E23DB">
        <w:rPr>
          <w:rFonts w:ascii="Times New Roman" w:eastAsia="Times New Roman" w:hAnsi="Times New Roman" w:cs="Times New Roman"/>
          <w:spacing w:val="15"/>
          <w:sz w:val="21"/>
          <w:szCs w:val="21"/>
          <w:lang w:eastAsia="el-GR"/>
        </w:rPr>
        <w:t>Kατά</w:t>
      </w:r>
      <w:proofErr w:type="spellEnd"/>
      <w:r w:rsidRPr="008E23DB">
        <w:rPr>
          <w:rFonts w:ascii="Times New Roman" w:eastAsia="Times New Roman" w:hAnsi="Times New Roman" w:cs="Times New Roman"/>
          <w:spacing w:val="15"/>
          <w:sz w:val="21"/>
          <w:szCs w:val="21"/>
          <w:lang w:eastAsia="el-GR"/>
        </w:rPr>
        <w:t xml:space="preserve"> τη διάρκεια της παράστασης έμπαινε από την πάροδο ο </w:t>
      </w:r>
      <w:proofErr w:type="spellStart"/>
      <w:r w:rsidRPr="008E23DB">
        <w:rPr>
          <w:rFonts w:ascii="Times New Roman" w:eastAsia="Times New Roman" w:hAnsi="Times New Roman" w:cs="Times New Roman"/>
          <w:spacing w:val="15"/>
          <w:sz w:val="21"/>
          <w:szCs w:val="21"/>
          <w:lang w:eastAsia="el-GR"/>
        </w:rPr>
        <w:t>Xορός</w:t>
      </w:r>
      <w:proofErr w:type="spellEnd"/>
      <w:r w:rsidRPr="008E23DB">
        <w:rPr>
          <w:rFonts w:ascii="Times New Roman" w:eastAsia="Times New Roman" w:hAnsi="Times New Roman" w:cs="Times New Roman"/>
          <w:spacing w:val="15"/>
          <w:sz w:val="21"/>
          <w:szCs w:val="21"/>
          <w:lang w:eastAsia="el-GR"/>
        </w:rPr>
        <w:t>, γι' αυτό και το πρώτο τραγούδι ονομαζόταν επίσης </w:t>
      </w:r>
      <w:r w:rsidRPr="008E23DB">
        <w:rPr>
          <w:rFonts w:ascii="Times New Roman" w:eastAsia="Times New Roman" w:hAnsi="Times New Roman" w:cs="Times New Roman"/>
          <w:i/>
          <w:iCs/>
          <w:spacing w:val="15"/>
          <w:sz w:val="21"/>
          <w:szCs w:val="21"/>
          <w:lang w:eastAsia="el-GR"/>
        </w:rPr>
        <w:t>πάροδος</w:t>
      </w:r>
      <w:r w:rsidRPr="008E23DB">
        <w:rPr>
          <w:rFonts w:ascii="Times New Roman" w:eastAsia="Times New Roman" w:hAnsi="Times New Roman" w:cs="Times New Roman"/>
          <w:spacing w:val="15"/>
          <w:sz w:val="21"/>
          <w:szCs w:val="21"/>
          <w:lang w:eastAsia="el-GR"/>
        </w:rPr>
        <w:t>. O στενός χώρος ανάμεσα στη σκηνή και την ορχήστρα αποτελούσε τον κύριο χώρο δράσης των υποκριτών, το χώρο των ομιλητών: το </w:t>
      </w:r>
      <w:proofErr w:type="spellStart"/>
      <w:r w:rsidRPr="008E23DB">
        <w:rPr>
          <w:rFonts w:ascii="Times New Roman" w:eastAsia="Times New Roman" w:hAnsi="Times New Roman" w:cs="Times New Roman"/>
          <w:i/>
          <w:iCs/>
          <w:spacing w:val="15"/>
          <w:sz w:val="21"/>
          <w:szCs w:val="21"/>
          <w:lang w:eastAsia="el-GR"/>
        </w:rPr>
        <w:t>λογεῖον</w:t>
      </w:r>
      <w:proofErr w:type="spellEnd"/>
      <w:r w:rsidRPr="008E23DB">
        <w:rPr>
          <w:rFonts w:ascii="Times New Roman" w:eastAsia="Times New Roman" w:hAnsi="Times New Roman" w:cs="Times New Roman"/>
          <w:spacing w:val="15"/>
          <w:sz w:val="21"/>
          <w:szCs w:val="21"/>
          <w:lang w:eastAsia="el-GR"/>
        </w:rPr>
        <w:t xml:space="preserve">, που ήταν ένα υπερυψωμένο δάπεδο ξύλινο και αργότερα πέτρινο ή μαρμάρινο. </w:t>
      </w:r>
      <w:proofErr w:type="spellStart"/>
      <w:r w:rsidRPr="008E23DB">
        <w:rPr>
          <w:rFonts w:ascii="Times New Roman" w:eastAsia="Times New Roman" w:hAnsi="Times New Roman" w:cs="Times New Roman"/>
          <w:spacing w:val="15"/>
          <w:sz w:val="21"/>
          <w:szCs w:val="21"/>
          <w:lang w:eastAsia="el-GR"/>
        </w:rPr>
        <w:t>Tο</w:t>
      </w:r>
      <w:proofErr w:type="spellEnd"/>
      <w:r w:rsidRPr="008E23DB">
        <w:rPr>
          <w:rFonts w:ascii="Times New Roman" w:eastAsia="Times New Roman" w:hAnsi="Times New Roman" w:cs="Times New Roman"/>
          <w:spacing w:val="15"/>
          <w:sz w:val="21"/>
          <w:szCs w:val="21"/>
          <w:lang w:eastAsia="el-GR"/>
        </w:rPr>
        <w:t xml:space="preserve"> σκηνικό οικοδόμημα διέθετε υπερυψωμένη εξέδρα για την εμφάνιση (επιφάνεια) των θεών: το</w:t>
      </w:r>
      <w:r w:rsidRPr="008E23DB">
        <w:rPr>
          <w:rFonts w:ascii="Times New Roman" w:eastAsia="Times New Roman" w:hAnsi="Times New Roman" w:cs="Times New Roman"/>
          <w:i/>
          <w:iCs/>
          <w:spacing w:val="15"/>
          <w:sz w:val="21"/>
          <w:szCs w:val="21"/>
          <w:lang w:eastAsia="el-GR"/>
        </w:rPr>
        <w:t> </w:t>
      </w:r>
      <w:proofErr w:type="spellStart"/>
      <w:r w:rsidRPr="008E23DB">
        <w:rPr>
          <w:rFonts w:ascii="Times New Roman" w:eastAsia="Times New Roman" w:hAnsi="Times New Roman" w:cs="Times New Roman"/>
          <w:i/>
          <w:iCs/>
          <w:spacing w:val="15"/>
          <w:sz w:val="21"/>
          <w:szCs w:val="21"/>
          <w:lang w:eastAsia="el-GR"/>
        </w:rPr>
        <w:t>θεολογεῖον</w:t>
      </w:r>
      <w:proofErr w:type="spellEnd"/>
      <w:r w:rsidRPr="008E23DB">
        <w:rPr>
          <w:rFonts w:ascii="Times New Roman" w:eastAsia="Times New Roman" w:hAnsi="Times New Roman" w:cs="Times New Roman"/>
          <w:spacing w:val="15"/>
          <w:sz w:val="21"/>
          <w:szCs w:val="21"/>
          <w:lang w:eastAsia="el-GR"/>
        </w:rPr>
        <w:t>.</w:t>
      </w:r>
    </w:p>
    <w:p w:rsidR="008E23DB" w:rsidRPr="008E23DB" w:rsidRDefault="008E23DB" w:rsidP="008E23DB">
      <w:pPr>
        <w:spacing w:before="100" w:beforeAutospacing="1" w:after="100" w:afterAutospacing="1" w:line="240" w:lineRule="auto"/>
        <w:ind w:firstLine="480"/>
        <w:jc w:val="both"/>
        <w:rPr>
          <w:rFonts w:ascii="Times New Roman" w:eastAsia="Times New Roman" w:hAnsi="Times New Roman" w:cs="Times New Roman"/>
          <w:spacing w:val="15"/>
          <w:sz w:val="21"/>
          <w:szCs w:val="21"/>
          <w:lang w:eastAsia="el-GR"/>
        </w:rPr>
      </w:pPr>
      <w:r w:rsidRPr="008E23DB">
        <w:rPr>
          <w:rFonts w:ascii="Times New Roman" w:eastAsia="Times New Roman" w:hAnsi="Times New Roman" w:cs="Times New Roman"/>
          <w:spacing w:val="15"/>
          <w:sz w:val="21"/>
          <w:szCs w:val="21"/>
          <w:lang w:eastAsia="el-GR"/>
        </w:rPr>
        <w:t>Σκηνογραφικά και μηχανικά μέσα, τα </w:t>
      </w:r>
      <w:r w:rsidRPr="008E23DB">
        <w:rPr>
          <w:rFonts w:ascii="Times New Roman" w:eastAsia="Times New Roman" w:hAnsi="Times New Roman" w:cs="Times New Roman"/>
          <w:i/>
          <w:iCs/>
          <w:spacing w:val="15"/>
          <w:sz w:val="21"/>
          <w:szCs w:val="21"/>
          <w:lang w:eastAsia="el-GR"/>
        </w:rPr>
        <w:t>θεατρικά μηχανήματα</w:t>
      </w:r>
      <w:r w:rsidRPr="008E23DB">
        <w:rPr>
          <w:rFonts w:ascii="Times New Roman" w:eastAsia="Times New Roman" w:hAnsi="Times New Roman" w:cs="Times New Roman"/>
          <w:spacing w:val="15"/>
          <w:sz w:val="21"/>
          <w:szCs w:val="21"/>
          <w:lang w:eastAsia="el-GR"/>
        </w:rPr>
        <w:t xml:space="preserve">, συνεπικουρούσαν το έργο των ηθοποιών και την απρόσκοπτη εξέλιξη της δραματικής πλοκής. </w:t>
      </w:r>
      <w:proofErr w:type="spellStart"/>
      <w:r w:rsidRPr="008E23DB">
        <w:rPr>
          <w:rFonts w:ascii="Times New Roman" w:eastAsia="Times New Roman" w:hAnsi="Times New Roman" w:cs="Times New Roman"/>
          <w:spacing w:val="15"/>
          <w:sz w:val="21"/>
          <w:szCs w:val="21"/>
          <w:lang w:eastAsia="el-GR"/>
        </w:rPr>
        <w:t>Tέτοια</w:t>
      </w:r>
      <w:proofErr w:type="spellEnd"/>
      <w:r w:rsidRPr="008E23DB">
        <w:rPr>
          <w:rFonts w:ascii="Times New Roman" w:eastAsia="Times New Roman" w:hAnsi="Times New Roman" w:cs="Times New Roman"/>
          <w:spacing w:val="15"/>
          <w:sz w:val="21"/>
          <w:szCs w:val="21"/>
          <w:lang w:eastAsia="el-GR"/>
        </w:rPr>
        <w:t xml:space="preserve"> ήταν: το </w:t>
      </w:r>
      <w:proofErr w:type="spellStart"/>
      <w:r w:rsidRPr="008E23DB">
        <w:rPr>
          <w:rFonts w:ascii="Times New Roman" w:eastAsia="Times New Roman" w:hAnsi="Times New Roman" w:cs="Times New Roman"/>
          <w:i/>
          <w:iCs/>
          <w:spacing w:val="15"/>
          <w:sz w:val="21"/>
          <w:szCs w:val="21"/>
          <w:lang w:eastAsia="el-GR"/>
        </w:rPr>
        <w:t>ἐκκύκλημα</w:t>
      </w:r>
      <w:proofErr w:type="spellEnd"/>
      <w:r w:rsidRPr="008E23DB">
        <w:rPr>
          <w:rFonts w:ascii="Times New Roman" w:eastAsia="Times New Roman" w:hAnsi="Times New Roman" w:cs="Times New Roman"/>
          <w:spacing w:val="15"/>
          <w:sz w:val="21"/>
          <w:szCs w:val="21"/>
          <w:lang w:eastAsia="el-GR"/>
        </w:rPr>
        <w:t> (&lt; </w:t>
      </w:r>
      <w:proofErr w:type="spellStart"/>
      <w:r w:rsidRPr="008E23DB">
        <w:rPr>
          <w:rFonts w:ascii="Times New Roman" w:eastAsia="Times New Roman" w:hAnsi="Times New Roman" w:cs="Times New Roman"/>
          <w:i/>
          <w:iCs/>
          <w:spacing w:val="15"/>
          <w:sz w:val="21"/>
          <w:szCs w:val="21"/>
          <w:lang w:eastAsia="el-GR"/>
        </w:rPr>
        <w:t>ἐκ-κυκλέω</w:t>
      </w:r>
      <w:proofErr w:type="spellEnd"/>
      <w:r w:rsidRPr="008E23DB">
        <w:rPr>
          <w:rFonts w:ascii="Times New Roman" w:eastAsia="Times New Roman" w:hAnsi="Times New Roman" w:cs="Times New Roman"/>
          <w:spacing w:val="15"/>
          <w:sz w:val="21"/>
          <w:szCs w:val="21"/>
          <w:lang w:eastAsia="el-GR"/>
        </w:rPr>
        <w:t>, τροχοφόρο δάπεδο πάνω στο οποίο παρουσίαζαν στους θεατές ομοιώματα νεκρών), ο </w:t>
      </w:r>
      <w:proofErr w:type="spellStart"/>
      <w:r w:rsidRPr="008E23DB">
        <w:rPr>
          <w:rFonts w:ascii="Times New Roman" w:eastAsia="Times New Roman" w:hAnsi="Times New Roman" w:cs="Times New Roman"/>
          <w:i/>
          <w:iCs/>
          <w:spacing w:val="15"/>
          <w:sz w:val="21"/>
          <w:szCs w:val="21"/>
          <w:lang w:eastAsia="el-GR"/>
        </w:rPr>
        <w:t>γερανὸς</w:t>
      </w:r>
      <w:proofErr w:type="spellEnd"/>
      <w:r w:rsidRPr="008E23DB">
        <w:rPr>
          <w:rFonts w:ascii="Times New Roman" w:eastAsia="Times New Roman" w:hAnsi="Times New Roman" w:cs="Times New Roman"/>
          <w:spacing w:val="15"/>
          <w:sz w:val="21"/>
          <w:szCs w:val="21"/>
          <w:lang w:eastAsia="el-GR"/>
        </w:rPr>
        <w:t> ή </w:t>
      </w:r>
      <w:proofErr w:type="spellStart"/>
      <w:r w:rsidRPr="008E23DB">
        <w:rPr>
          <w:rFonts w:ascii="Times New Roman" w:eastAsia="Times New Roman" w:hAnsi="Times New Roman" w:cs="Times New Roman"/>
          <w:i/>
          <w:iCs/>
          <w:spacing w:val="15"/>
          <w:sz w:val="21"/>
          <w:szCs w:val="21"/>
          <w:lang w:eastAsia="el-GR"/>
        </w:rPr>
        <w:t>αἰώρημα</w:t>
      </w:r>
      <w:proofErr w:type="spellEnd"/>
      <w:r w:rsidRPr="008E23DB">
        <w:rPr>
          <w:rFonts w:ascii="Times New Roman" w:eastAsia="Times New Roman" w:hAnsi="Times New Roman" w:cs="Times New Roman"/>
          <w:spacing w:val="15"/>
          <w:sz w:val="21"/>
          <w:szCs w:val="21"/>
          <w:lang w:eastAsia="el-GR"/>
        </w:rPr>
        <w:t> (&lt; </w:t>
      </w:r>
      <w:proofErr w:type="spellStart"/>
      <w:r w:rsidRPr="008E23DB">
        <w:rPr>
          <w:rFonts w:ascii="Times New Roman" w:eastAsia="Times New Roman" w:hAnsi="Times New Roman" w:cs="Times New Roman"/>
          <w:i/>
          <w:iCs/>
          <w:spacing w:val="15"/>
          <w:sz w:val="21"/>
          <w:szCs w:val="21"/>
          <w:lang w:eastAsia="el-GR"/>
        </w:rPr>
        <w:t>αἰωρέω</w:t>
      </w:r>
      <w:proofErr w:type="spellEnd"/>
      <w:r w:rsidRPr="008E23DB">
        <w:rPr>
          <w:rFonts w:ascii="Times New Roman" w:eastAsia="Times New Roman" w:hAnsi="Times New Roman" w:cs="Times New Roman"/>
          <w:spacing w:val="15"/>
          <w:sz w:val="21"/>
          <w:szCs w:val="21"/>
          <w:lang w:eastAsia="el-GR"/>
        </w:rPr>
        <w:t>, ανυψωτική μηχανή για τον </w:t>
      </w:r>
      <w:proofErr w:type="spellStart"/>
      <w:r w:rsidRPr="008E23DB">
        <w:rPr>
          <w:rFonts w:ascii="Times New Roman" w:eastAsia="Times New Roman" w:hAnsi="Times New Roman" w:cs="Times New Roman"/>
          <w:i/>
          <w:iCs/>
          <w:spacing w:val="15"/>
          <w:sz w:val="21"/>
          <w:szCs w:val="21"/>
          <w:lang w:eastAsia="el-GR"/>
        </w:rPr>
        <w:t>ἀπὸ</w:t>
      </w:r>
      <w:proofErr w:type="spellEnd"/>
      <w:r w:rsidRPr="008E23DB">
        <w:rPr>
          <w:rFonts w:ascii="Times New Roman" w:eastAsia="Times New Roman" w:hAnsi="Times New Roman" w:cs="Times New Roman"/>
          <w:i/>
          <w:iCs/>
          <w:spacing w:val="15"/>
          <w:sz w:val="21"/>
          <w:szCs w:val="21"/>
          <w:lang w:eastAsia="el-GR"/>
        </w:rPr>
        <w:t xml:space="preserve"> </w:t>
      </w:r>
      <w:proofErr w:type="spellStart"/>
      <w:r w:rsidRPr="008E23DB">
        <w:rPr>
          <w:rFonts w:ascii="Times New Roman" w:eastAsia="Times New Roman" w:hAnsi="Times New Roman" w:cs="Times New Roman"/>
          <w:i/>
          <w:iCs/>
          <w:spacing w:val="15"/>
          <w:sz w:val="21"/>
          <w:szCs w:val="21"/>
          <w:lang w:eastAsia="el-GR"/>
        </w:rPr>
        <w:t>μηχανῆς</w:t>
      </w:r>
      <w:proofErr w:type="spellEnd"/>
      <w:r w:rsidRPr="008E23DB">
        <w:rPr>
          <w:rFonts w:ascii="Times New Roman" w:eastAsia="Times New Roman" w:hAnsi="Times New Roman" w:cs="Times New Roman"/>
          <w:i/>
          <w:iCs/>
          <w:spacing w:val="15"/>
          <w:sz w:val="21"/>
          <w:szCs w:val="21"/>
          <w:lang w:eastAsia="el-GR"/>
        </w:rPr>
        <w:t xml:space="preserve"> θεόν</w:t>
      </w:r>
      <w:r w:rsidRPr="008E23DB">
        <w:rPr>
          <w:rFonts w:ascii="Times New Roman" w:eastAsia="Times New Roman" w:hAnsi="Times New Roman" w:cs="Times New Roman"/>
          <w:spacing w:val="15"/>
          <w:sz w:val="21"/>
          <w:szCs w:val="21"/>
          <w:lang w:eastAsia="el-GR"/>
        </w:rPr>
        <w:t>), το</w:t>
      </w:r>
      <w:r w:rsidRPr="008E23DB">
        <w:rPr>
          <w:rFonts w:ascii="Times New Roman" w:eastAsia="Times New Roman" w:hAnsi="Times New Roman" w:cs="Times New Roman"/>
          <w:i/>
          <w:iCs/>
          <w:spacing w:val="15"/>
          <w:sz w:val="21"/>
          <w:szCs w:val="21"/>
          <w:lang w:eastAsia="el-GR"/>
        </w:rPr>
        <w:t> </w:t>
      </w:r>
      <w:proofErr w:type="spellStart"/>
      <w:r w:rsidRPr="008E23DB">
        <w:rPr>
          <w:rFonts w:ascii="Times New Roman" w:eastAsia="Times New Roman" w:hAnsi="Times New Roman" w:cs="Times New Roman"/>
          <w:i/>
          <w:iCs/>
          <w:spacing w:val="15"/>
          <w:sz w:val="21"/>
          <w:szCs w:val="21"/>
          <w:lang w:eastAsia="el-GR"/>
        </w:rPr>
        <w:t>βροντεῖον</w:t>
      </w:r>
      <w:proofErr w:type="spellEnd"/>
      <w:r w:rsidRPr="008E23DB">
        <w:rPr>
          <w:rFonts w:ascii="Times New Roman" w:eastAsia="Times New Roman" w:hAnsi="Times New Roman" w:cs="Times New Roman"/>
          <w:spacing w:val="15"/>
          <w:sz w:val="21"/>
          <w:szCs w:val="21"/>
          <w:lang w:eastAsia="el-GR"/>
        </w:rPr>
        <w:t> και </w:t>
      </w:r>
      <w:proofErr w:type="spellStart"/>
      <w:r w:rsidRPr="008E23DB">
        <w:rPr>
          <w:rFonts w:ascii="Times New Roman" w:eastAsia="Times New Roman" w:hAnsi="Times New Roman" w:cs="Times New Roman"/>
          <w:i/>
          <w:iCs/>
          <w:spacing w:val="15"/>
          <w:sz w:val="21"/>
          <w:szCs w:val="21"/>
          <w:lang w:eastAsia="el-GR"/>
        </w:rPr>
        <w:t>κεραυνοσκοπεῖον</w:t>
      </w:r>
      <w:proofErr w:type="spellEnd"/>
      <w:r w:rsidRPr="008E23DB">
        <w:rPr>
          <w:rFonts w:ascii="Times New Roman" w:eastAsia="Times New Roman" w:hAnsi="Times New Roman" w:cs="Times New Roman"/>
          <w:i/>
          <w:iCs/>
          <w:spacing w:val="15"/>
          <w:sz w:val="21"/>
          <w:szCs w:val="21"/>
          <w:lang w:eastAsia="el-GR"/>
        </w:rPr>
        <w:t> </w:t>
      </w:r>
      <w:r w:rsidRPr="008E23DB">
        <w:rPr>
          <w:rFonts w:ascii="Times New Roman" w:eastAsia="Times New Roman" w:hAnsi="Times New Roman" w:cs="Times New Roman"/>
          <w:spacing w:val="15"/>
          <w:sz w:val="21"/>
          <w:szCs w:val="21"/>
          <w:lang w:eastAsia="el-GR"/>
        </w:rPr>
        <w:t>(για τη μηχανική αναπαραγωγή της βροντής και της αστραπής), οι</w:t>
      </w:r>
      <w:r w:rsidRPr="008E23DB">
        <w:rPr>
          <w:rFonts w:ascii="Times New Roman" w:eastAsia="Times New Roman" w:hAnsi="Times New Roman" w:cs="Times New Roman"/>
          <w:i/>
          <w:iCs/>
          <w:spacing w:val="15"/>
          <w:sz w:val="21"/>
          <w:szCs w:val="21"/>
          <w:lang w:eastAsia="el-GR"/>
        </w:rPr>
        <w:t> περίακτοι </w:t>
      </w:r>
      <w:r w:rsidRPr="008E23DB">
        <w:rPr>
          <w:rFonts w:ascii="Times New Roman" w:eastAsia="Times New Roman" w:hAnsi="Times New Roman" w:cs="Times New Roman"/>
          <w:spacing w:val="15"/>
          <w:sz w:val="21"/>
          <w:szCs w:val="21"/>
          <w:lang w:eastAsia="el-GR"/>
        </w:rPr>
        <w:t>(</w:t>
      </w:r>
      <w:proofErr w:type="spellStart"/>
      <w:r w:rsidRPr="008E23DB">
        <w:rPr>
          <w:rFonts w:ascii="Times New Roman" w:eastAsia="Times New Roman" w:hAnsi="Times New Roman" w:cs="Times New Roman"/>
          <w:i/>
          <w:iCs/>
          <w:spacing w:val="15"/>
          <w:sz w:val="21"/>
          <w:szCs w:val="21"/>
          <w:lang w:eastAsia="el-GR"/>
        </w:rPr>
        <w:t>περὶ</w:t>
      </w:r>
      <w:proofErr w:type="spellEnd"/>
      <w:r w:rsidRPr="008E23DB">
        <w:rPr>
          <w:rFonts w:ascii="Times New Roman" w:eastAsia="Times New Roman" w:hAnsi="Times New Roman" w:cs="Times New Roman"/>
          <w:i/>
          <w:iCs/>
          <w:spacing w:val="15"/>
          <w:sz w:val="21"/>
          <w:szCs w:val="21"/>
          <w:lang w:eastAsia="el-GR"/>
        </w:rPr>
        <w:t xml:space="preserve"> + </w:t>
      </w:r>
      <w:proofErr w:type="spellStart"/>
      <w:r w:rsidRPr="008E23DB">
        <w:rPr>
          <w:rFonts w:ascii="Times New Roman" w:eastAsia="Times New Roman" w:hAnsi="Times New Roman" w:cs="Times New Roman"/>
          <w:i/>
          <w:iCs/>
          <w:spacing w:val="15"/>
          <w:sz w:val="21"/>
          <w:szCs w:val="21"/>
          <w:lang w:eastAsia="el-GR"/>
        </w:rPr>
        <w:t>ἄγω</w:t>
      </w:r>
      <w:proofErr w:type="spellEnd"/>
      <w:r w:rsidRPr="008E23DB">
        <w:rPr>
          <w:rFonts w:ascii="Times New Roman" w:eastAsia="Times New Roman" w:hAnsi="Times New Roman" w:cs="Times New Roman"/>
          <w:spacing w:val="15"/>
          <w:sz w:val="21"/>
          <w:szCs w:val="21"/>
          <w:lang w:eastAsia="el-GR"/>
        </w:rPr>
        <w:t>), δύο ξύλινοι στύλοι για εναλλαγή του σκηνικού.</w:t>
      </w:r>
    </w:p>
    <w:p w:rsidR="008E23DB" w:rsidRPr="008E23DB" w:rsidRDefault="008E23DB" w:rsidP="008E23DB">
      <w:pPr>
        <w:spacing w:before="600" w:after="100" w:afterAutospacing="1" w:line="240" w:lineRule="auto"/>
        <w:outlineLvl w:val="5"/>
        <w:rPr>
          <w:rFonts w:ascii="Times New Roman" w:eastAsia="Times New Roman" w:hAnsi="Times New Roman" w:cs="Times New Roman"/>
          <w:b/>
          <w:bCs/>
          <w:i/>
          <w:iCs/>
          <w:spacing w:val="15"/>
          <w:sz w:val="15"/>
          <w:szCs w:val="15"/>
          <w:lang w:eastAsia="el-GR"/>
        </w:rPr>
      </w:pPr>
      <w:r w:rsidRPr="008E23DB">
        <w:rPr>
          <w:rFonts w:ascii="Times New Roman" w:eastAsia="Times New Roman" w:hAnsi="Times New Roman" w:cs="Times New Roman"/>
          <w:b/>
          <w:bCs/>
          <w:i/>
          <w:iCs/>
          <w:spacing w:val="15"/>
          <w:sz w:val="15"/>
          <w:szCs w:val="15"/>
          <w:lang w:eastAsia="el-GR"/>
        </w:rPr>
        <w:t>4. Συντελεστές της παράστασης</w:t>
      </w:r>
    </w:p>
    <w:p w:rsidR="008E23DB" w:rsidRPr="008E23DB" w:rsidRDefault="008E23DB" w:rsidP="008E23DB">
      <w:pPr>
        <w:spacing w:after="75" w:line="240" w:lineRule="auto"/>
        <w:jc w:val="center"/>
        <w:rPr>
          <w:rFonts w:ascii="Times New Roman" w:eastAsia="Times New Roman" w:hAnsi="Times New Roman" w:cs="Times New Roman"/>
          <w:b/>
          <w:bCs/>
          <w:i/>
          <w:iCs/>
          <w:spacing w:val="15"/>
          <w:sz w:val="21"/>
          <w:szCs w:val="21"/>
          <w:lang w:eastAsia="el-GR"/>
        </w:rPr>
      </w:pPr>
      <w:r w:rsidRPr="008E23DB">
        <w:rPr>
          <w:rFonts w:ascii="Times New Roman" w:eastAsia="Times New Roman" w:hAnsi="Times New Roman" w:cs="Times New Roman"/>
          <w:b/>
          <w:bCs/>
          <w:i/>
          <w:iCs/>
          <w:spacing w:val="15"/>
          <w:sz w:val="21"/>
          <w:szCs w:val="21"/>
          <w:lang w:eastAsia="el-GR"/>
        </w:rPr>
        <w:t>O Χορός  </w:t>
      </w:r>
    </w:p>
    <w:p w:rsidR="008E23DB" w:rsidRPr="008E23DB" w:rsidRDefault="008E23DB" w:rsidP="008E23DB">
      <w:pPr>
        <w:spacing w:before="100" w:beforeAutospacing="1" w:after="100" w:afterAutospacing="1" w:line="240" w:lineRule="auto"/>
        <w:jc w:val="both"/>
        <w:rPr>
          <w:rFonts w:ascii="Times New Roman" w:eastAsia="Times New Roman" w:hAnsi="Times New Roman" w:cs="Times New Roman"/>
          <w:spacing w:val="15"/>
          <w:sz w:val="21"/>
          <w:szCs w:val="21"/>
          <w:lang w:eastAsia="el-GR"/>
        </w:rPr>
      </w:pPr>
      <w:r w:rsidRPr="008E23DB">
        <w:rPr>
          <w:rFonts w:ascii="Times New Roman" w:eastAsia="Times New Roman" w:hAnsi="Times New Roman" w:cs="Times New Roman"/>
          <w:spacing w:val="15"/>
          <w:sz w:val="21"/>
          <w:szCs w:val="21"/>
          <w:lang w:eastAsia="el-GR"/>
        </w:rPr>
        <w:t xml:space="preserve">O </w:t>
      </w:r>
      <w:proofErr w:type="spellStart"/>
      <w:r w:rsidRPr="008E23DB">
        <w:rPr>
          <w:rFonts w:ascii="Times New Roman" w:eastAsia="Times New Roman" w:hAnsi="Times New Roman" w:cs="Times New Roman"/>
          <w:spacing w:val="15"/>
          <w:sz w:val="21"/>
          <w:szCs w:val="21"/>
          <w:lang w:eastAsia="el-GR"/>
        </w:rPr>
        <w:t>Xορός</w:t>
      </w:r>
      <w:proofErr w:type="spellEnd"/>
      <w:r w:rsidRPr="008E23DB">
        <w:rPr>
          <w:rFonts w:ascii="Times New Roman" w:eastAsia="Times New Roman" w:hAnsi="Times New Roman" w:cs="Times New Roman"/>
          <w:spacing w:val="15"/>
          <w:sz w:val="21"/>
          <w:szCs w:val="21"/>
          <w:lang w:eastAsia="el-GR"/>
        </w:rPr>
        <w:t xml:space="preserve"> αποτελεί αναπόσπαστο στοιχείο της τραγωδίας και με το πέρασμα του χρόνου δέχτηκε πολλές μεταβολές. Ο αριθμός των μελών του, από 50 ερασιτέχνες χορευτές που ήταν αρχικά στο διθύραμβο, έγινε 12 και με το Σοφοκλή 15, </w:t>
      </w:r>
      <w:proofErr w:type="spellStart"/>
      <w:r w:rsidRPr="008E23DB">
        <w:rPr>
          <w:rFonts w:ascii="Times New Roman" w:eastAsia="Times New Roman" w:hAnsi="Times New Roman" w:cs="Times New Roman"/>
          <w:spacing w:val="15"/>
          <w:sz w:val="21"/>
          <w:szCs w:val="21"/>
          <w:lang w:eastAsia="el-GR"/>
        </w:rPr>
        <w:t>κατανεμόμενοι</w:t>
      </w:r>
      <w:proofErr w:type="spellEnd"/>
      <w:r w:rsidRPr="008E23DB">
        <w:rPr>
          <w:rFonts w:ascii="Times New Roman" w:eastAsia="Times New Roman" w:hAnsi="Times New Roman" w:cs="Times New Roman"/>
          <w:spacing w:val="15"/>
          <w:sz w:val="21"/>
          <w:szCs w:val="21"/>
          <w:lang w:eastAsia="el-GR"/>
        </w:rPr>
        <w:t xml:space="preserve"> σε δύο ημιχόρια. O </w:t>
      </w:r>
      <w:proofErr w:type="spellStart"/>
      <w:r w:rsidRPr="008E23DB">
        <w:rPr>
          <w:rFonts w:ascii="Times New Roman" w:eastAsia="Times New Roman" w:hAnsi="Times New Roman" w:cs="Times New Roman"/>
          <w:spacing w:val="15"/>
          <w:sz w:val="21"/>
          <w:szCs w:val="21"/>
          <w:lang w:eastAsia="el-GR"/>
        </w:rPr>
        <w:t>Xορός</w:t>
      </w:r>
      <w:proofErr w:type="spellEnd"/>
      <w:r w:rsidRPr="008E23DB">
        <w:rPr>
          <w:rFonts w:ascii="Times New Roman" w:eastAsia="Times New Roman" w:hAnsi="Times New Roman" w:cs="Times New Roman"/>
          <w:spacing w:val="15"/>
          <w:sz w:val="21"/>
          <w:szCs w:val="21"/>
          <w:lang w:eastAsia="el-GR"/>
        </w:rPr>
        <w:t>, με επικεφαλής τον αυλητή, έμπαινε από τη δεξιά πάροδο κατά ζυγά (μέτωπο 5, βάθος 3) ή κατά στοίχους (μέτωπο 3, βάθος 5). Ήταν ντυμένος απλούστερα από τους υποκριτές και εκτελούσε, υπό τον ήχο του αυλού, την κίνηση και την όρχηση εκφράζοντας τα συναισθήματά του. Στη διάρκεια της παράστασης είχε τα νώτα στραμμένα προς τους θεατές και διαλεγόταν με τους υποκριτές μέσω του</w:t>
      </w:r>
      <w:r w:rsidRPr="008E23DB">
        <w:rPr>
          <w:rFonts w:ascii="Times New Roman" w:eastAsia="Times New Roman" w:hAnsi="Times New Roman" w:cs="Times New Roman"/>
          <w:i/>
          <w:iCs/>
          <w:spacing w:val="15"/>
          <w:sz w:val="21"/>
          <w:szCs w:val="21"/>
          <w:lang w:eastAsia="el-GR"/>
        </w:rPr>
        <w:t> κορυφαίου</w:t>
      </w:r>
      <w:r w:rsidRPr="008E23DB">
        <w:rPr>
          <w:rFonts w:ascii="Times New Roman" w:eastAsia="Times New Roman" w:hAnsi="Times New Roman" w:cs="Times New Roman"/>
          <w:spacing w:val="15"/>
          <w:sz w:val="21"/>
          <w:szCs w:val="21"/>
          <w:lang w:eastAsia="el-GR"/>
        </w:rPr>
        <w:t xml:space="preserve">· χωρίς να τάσσεται ανοιχτά με το μέρος κάποιου από τους ήρωες, αντιπροσώπευε την κοινή γνώμη. </w:t>
      </w:r>
      <w:proofErr w:type="spellStart"/>
      <w:r w:rsidRPr="008E23DB">
        <w:rPr>
          <w:rFonts w:ascii="Times New Roman" w:eastAsia="Times New Roman" w:hAnsi="Times New Roman" w:cs="Times New Roman"/>
          <w:spacing w:val="15"/>
          <w:sz w:val="21"/>
          <w:szCs w:val="21"/>
          <w:lang w:eastAsia="el-GR"/>
        </w:rPr>
        <w:t>Aρχικά</w:t>
      </w:r>
      <w:proofErr w:type="spellEnd"/>
      <w:r w:rsidRPr="008E23DB">
        <w:rPr>
          <w:rFonts w:ascii="Times New Roman" w:eastAsia="Times New Roman" w:hAnsi="Times New Roman" w:cs="Times New Roman"/>
          <w:spacing w:val="15"/>
          <w:sz w:val="21"/>
          <w:szCs w:val="21"/>
          <w:lang w:eastAsia="el-GR"/>
        </w:rPr>
        <w:t>, η τραγωδία άρχιζε με την είσοδο του Χορού και τα χορικά κατείχαν μεγάλο μέρος της έκτασης του έργου.</w:t>
      </w:r>
    </w:p>
    <w:p w:rsidR="00384360" w:rsidRDefault="00384360">
      <w:bookmarkStart w:id="0" w:name="_GoBack"/>
      <w:bookmarkEnd w:id="0"/>
    </w:p>
    <w:sectPr w:rsidR="003843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3DB"/>
    <w:rsid w:val="00384360"/>
    <w:rsid w:val="008E2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7EC7A-3090-4FD9-906E-CA25BAF2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767600">
      <w:bodyDiv w:val="1"/>
      <w:marLeft w:val="0"/>
      <w:marRight w:val="0"/>
      <w:marTop w:val="0"/>
      <w:marBottom w:val="0"/>
      <w:divBdr>
        <w:top w:val="none" w:sz="0" w:space="0" w:color="auto"/>
        <w:left w:val="none" w:sz="0" w:space="0" w:color="auto"/>
        <w:bottom w:val="none" w:sz="0" w:space="0" w:color="auto"/>
        <w:right w:val="none" w:sz="0" w:space="0" w:color="auto"/>
      </w:divBdr>
      <w:divsChild>
        <w:div w:id="726492308">
          <w:marLeft w:val="300"/>
          <w:marRight w:val="300"/>
          <w:marTop w:val="0"/>
          <w:marBottom w:val="0"/>
          <w:divBdr>
            <w:top w:val="none" w:sz="0" w:space="0" w:color="auto"/>
            <w:left w:val="none" w:sz="0" w:space="0" w:color="auto"/>
            <w:bottom w:val="none" w:sz="0" w:space="0" w:color="auto"/>
            <w:right w:val="none" w:sz="0" w:space="0" w:color="auto"/>
          </w:divBdr>
        </w:div>
        <w:div w:id="365721551">
          <w:marLeft w:val="300"/>
          <w:marRight w:val="300"/>
          <w:marTop w:val="0"/>
          <w:marBottom w:val="0"/>
          <w:divBdr>
            <w:top w:val="none" w:sz="0" w:space="0" w:color="auto"/>
            <w:left w:val="none" w:sz="0" w:space="0" w:color="auto"/>
            <w:bottom w:val="none" w:sz="0" w:space="0" w:color="auto"/>
            <w:right w:val="none" w:sz="0" w:space="0" w:color="auto"/>
          </w:divBdr>
          <w:divsChild>
            <w:div w:id="529488920">
              <w:marLeft w:val="0"/>
              <w:marRight w:val="12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2732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1</cp:revision>
  <dcterms:created xsi:type="dcterms:W3CDTF">2021-02-07T16:43:00Z</dcterms:created>
  <dcterms:modified xsi:type="dcterms:W3CDTF">2021-02-07T16:44:00Z</dcterms:modified>
</cp:coreProperties>
</file>